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E1D4B4">
      <w:pPr>
        <w:pStyle w:val="19"/>
        <w:autoSpaceDE w:val="0"/>
        <w:snapToGrid w:val="0"/>
        <w:spacing w:beforeAutospacing="0" w:afterAutospacing="0" w:line="720" w:lineRule="exact"/>
        <w:jc w:val="both"/>
        <w:textAlignment w:val="baseline"/>
        <w:rPr>
          <w:rFonts w:ascii="宋体" w:hAnsi="宋体"/>
        </w:rPr>
      </w:pPr>
    </w:p>
    <w:p w14:paraId="0BC15445">
      <w:pPr>
        <w:pStyle w:val="19"/>
        <w:autoSpaceDE w:val="0"/>
        <w:snapToGrid w:val="0"/>
        <w:spacing w:beforeAutospacing="0" w:afterAutospacing="0" w:line="720" w:lineRule="exact"/>
        <w:jc w:val="center"/>
        <w:textAlignment w:val="baseline"/>
        <w:rPr>
          <w:rFonts w:hint="eastAsia" w:ascii="宋体" w:hAnsi="宋体" w:eastAsia="方正小标宋简体" w:cs="方正小标宋简体"/>
          <w:spacing w:val="8"/>
          <w:sz w:val="40"/>
          <w:szCs w:val="40"/>
          <w:shd w:val="clear" w:color="auto" w:fill="FFFFFF"/>
        </w:rPr>
      </w:pPr>
      <w:bookmarkStart w:id="0" w:name="_GoBack"/>
      <w:r>
        <w:rPr>
          <w:rFonts w:hint="eastAsia" w:ascii="宋体" w:hAnsi="宋体" w:eastAsia="方正小标宋简体" w:cs="方正小标宋简体"/>
          <w:spacing w:val="8"/>
          <w:sz w:val="40"/>
          <w:szCs w:val="40"/>
          <w:shd w:val="clear" w:color="auto" w:fill="FFFFFF"/>
        </w:rPr>
        <w:t>江西省2025年加力扩围实施大规模设备</w:t>
      </w:r>
    </w:p>
    <w:p w14:paraId="53CFFB9F">
      <w:pPr>
        <w:pStyle w:val="19"/>
        <w:autoSpaceDE w:val="0"/>
        <w:snapToGrid w:val="0"/>
        <w:spacing w:beforeAutospacing="0" w:afterAutospacing="0" w:line="720" w:lineRule="exact"/>
        <w:jc w:val="center"/>
        <w:textAlignment w:val="baseline"/>
        <w:rPr>
          <w:rFonts w:hint="eastAsia" w:ascii="宋体" w:hAnsi="宋体" w:eastAsia="方正小标宋简体" w:cs="方正小标宋简体"/>
          <w:kern w:val="2"/>
          <w:sz w:val="40"/>
          <w:szCs w:val="40"/>
        </w:rPr>
      </w:pPr>
      <w:r>
        <w:rPr>
          <w:rFonts w:hint="eastAsia" w:ascii="宋体" w:hAnsi="宋体" w:eastAsia="方正小标宋简体" w:cs="方正小标宋简体"/>
          <w:spacing w:val="8"/>
          <w:sz w:val="40"/>
          <w:szCs w:val="40"/>
          <w:shd w:val="clear" w:color="auto" w:fill="FFFFFF"/>
        </w:rPr>
        <w:t>更新和消费品以旧换新工作方案</w:t>
      </w:r>
      <w:bookmarkEnd w:id="0"/>
    </w:p>
    <w:p w14:paraId="76FD602D">
      <w:pPr>
        <w:topLinePunct/>
        <w:autoSpaceDE w:val="0"/>
        <w:ind w:firstLine="640" w:firstLineChars="200"/>
        <w:rPr>
          <w:rFonts w:hint="eastAsia" w:ascii="宋体" w:hAnsi="宋体" w:eastAsia="仿宋_GB2312" w:cs="仿宋_GB2312"/>
          <w:sz w:val="32"/>
          <w:szCs w:val="32"/>
        </w:rPr>
      </w:pPr>
    </w:p>
    <w:p w14:paraId="74F70C93">
      <w:pPr>
        <w:autoSpaceDE w:val="0"/>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lang w:bidi="ar"/>
        </w:rPr>
        <w:t>为全面贯彻党的二十大和二十届二中、三中全会精神，认真落实党中央、国务院决策部署以及省委和省政府工作要求，</w:t>
      </w:r>
      <w:r>
        <w:rPr>
          <w:rFonts w:hint="eastAsia" w:ascii="宋体" w:hAnsi="宋体" w:eastAsia="仿宋_GB2312" w:cs="仿宋_GB2312"/>
          <w:sz w:val="32"/>
          <w:szCs w:val="32"/>
          <w:lang w:eastAsia="zh-CN" w:bidi="ar"/>
        </w:rPr>
        <w:t>按照</w:t>
      </w:r>
      <w:r>
        <w:rPr>
          <w:rFonts w:hint="eastAsia" w:ascii="宋体" w:hAnsi="宋体" w:eastAsia="仿宋_GB2312" w:cs="仿宋_GB2312"/>
          <w:sz w:val="32"/>
          <w:szCs w:val="32"/>
          <w:lang w:bidi="ar"/>
        </w:rPr>
        <w:t>《国家发展改革委 财政部关于</w:t>
      </w:r>
      <w:r>
        <w:rPr>
          <w:rFonts w:hint="eastAsia" w:ascii="宋体" w:hAnsi="宋体" w:cs="宋体"/>
          <w:sz w:val="32"/>
          <w:szCs w:val="32"/>
          <w:lang w:bidi="ar"/>
        </w:rPr>
        <w:t>2025</w:t>
      </w:r>
      <w:r>
        <w:rPr>
          <w:rFonts w:hint="eastAsia" w:ascii="宋体" w:hAnsi="宋体" w:eastAsia="仿宋_GB2312" w:cs="仿宋_GB2312"/>
          <w:sz w:val="32"/>
          <w:szCs w:val="32"/>
          <w:lang w:bidi="ar"/>
        </w:rPr>
        <w:t>年加力扩围实施大规模设备更新和消费品以旧换新政策的通知》（</w:t>
      </w:r>
      <w:r>
        <w:rPr>
          <w:rFonts w:ascii="宋体" w:hAnsi="宋体" w:eastAsia="仿宋_GB2312" w:cs="仿宋_GB2312"/>
          <w:sz w:val="32"/>
          <w:szCs w:val="32"/>
          <w:lang w:bidi="ar"/>
        </w:rPr>
        <w:t>发改环资</w:t>
      </w:r>
      <w:r>
        <w:rPr>
          <w:rFonts w:hint="eastAsia" w:ascii="宋体" w:hAnsi="宋体" w:eastAsia="仿宋_GB2312" w:cs="仿宋_GB2312"/>
          <w:sz w:val="32"/>
          <w:szCs w:val="32"/>
          <w:lang w:bidi="ar"/>
        </w:rPr>
        <w:t>〔</w:t>
      </w:r>
      <w:r>
        <w:rPr>
          <w:rFonts w:hint="eastAsia" w:ascii="宋体" w:hAnsi="宋体" w:cs="宋体"/>
          <w:sz w:val="32"/>
          <w:szCs w:val="32"/>
          <w:lang w:bidi="ar"/>
        </w:rPr>
        <w:t>2025</w:t>
      </w:r>
      <w:r>
        <w:rPr>
          <w:rFonts w:hint="eastAsia" w:ascii="宋体" w:hAnsi="宋体" w:eastAsia="仿宋_GB2312" w:cs="仿宋_GB2312"/>
          <w:sz w:val="32"/>
          <w:szCs w:val="32"/>
          <w:lang w:bidi="ar"/>
        </w:rPr>
        <w:t>〕</w:t>
      </w:r>
      <w:r>
        <w:rPr>
          <w:rFonts w:hint="eastAsia" w:ascii="宋体" w:hAnsi="宋体" w:cs="宋体"/>
          <w:sz w:val="32"/>
          <w:szCs w:val="32"/>
          <w:lang w:bidi="ar"/>
        </w:rPr>
        <w:t>13</w:t>
      </w:r>
      <w:r>
        <w:rPr>
          <w:rFonts w:hint="eastAsia" w:ascii="宋体" w:hAnsi="宋体" w:eastAsia="仿宋_GB2312" w:cs="仿宋_GB2312"/>
          <w:sz w:val="32"/>
          <w:szCs w:val="32"/>
          <w:lang w:bidi="ar"/>
        </w:rPr>
        <w:t>号）</w:t>
      </w:r>
      <w:r>
        <w:rPr>
          <w:rFonts w:hint="eastAsia" w:ascii="宋体" w:hAnsi="宋体" w:eastAsia="仿宋_GB2312" w:cs="仿宋_GB2312"/>
          <w:sz w:val="32"/>
          <w:szCs w:val="32"/>
          <w:lang w:eastAsia="zh-CN" w:bidi="ar"/>
        </w:rPr>
        <w:t>和</w:t>
      </w:r>
      <w:r>
        <w:rPr>
          <w:rFonts w:hint="eastAsia" w:ascii="宋体" w:hAnsi="宋体" w:eastAsia="仿宋_GB2312" w:cs="仿宋_GB2312"/>
          <w:sz w:val="32"/>
          <w:szCs w:val="32"/>
          <w:lang w:bidi="ar"/>
        </w:rPr>
        <w:t>《江西省推动大规模设备更新和消费品以旧换新实施方案》（赣府发〔</w:t>
      </w:r>
      <w:r>
        <w:rPr>
          <w:rFonts w:hint="eastAsia" w:ascii="宋体" w:hAnsi="宋体" w:cs="宋体"/>
          <w:sz w:val="32"/>
          <w:szCs w:val="32"/>
          <w:lang w:bidi="ar"/>
        </w:rPr>
        <w:t>2024</w:t>
      </w:r>
      <w:r>
        <w:rPr>
          <w:rFonts w:hint="eastAsia" w:ascii="宋体" w:hAnsi="宋体" w:eastAsia="仿宋_GB2312" w:cs="仿宋_GB2312"/>
          <w:sz w:val="32"/>
          <w:szCs w:val="32"/>
          <w:lang w:bidi="ar"/>
        </w:rPr>
        <w:t>〕</w:t>
      </w:r>
      <w:r>
        <w:rPr>
          <w:rFonts w:hint="eastAsia" w:ascii="宋体" w:hAnsi="宋体" w:cs="宋体"/>
          <w:sz w:val="32"/>
          <w:szCs w:val="32"/>
          <w:lang w:bidi="ar"/>
        </w:rPr>
        <w:t>9</w:t>
      </w:r>
      <w:r>
        <w:rPr>
          <w:rFonts w:hint="eastAsia" w:ascii="宋体" w:hAnsi="宋体" w:eastAsia="仿宋_GB2312" w:cs="仿宋_GB2312"/>
          <w:sz w:val="32"/>
          <w:szCs w:val="32"/>
          <w:lang w:bidi="ar"/>
        </w:rPr>
        <w:t>号）</w:t>
      </w:r>
      <w:r>
        <w:rPr>
          <w:rFonts w:hint="eastAsia" w:ascii="宋体" w:hAnsi="宋体" w:eastAsia="仿宋_GB2312" w:cs="仿宋_GB2312"/>
          <w:sz w:val="32"/>
          <w:szCs w:val="32"/>
          <w:lang w:eastAsia="zh-CN" w:bidi="ar"/>
        </w:rPr>
        <w:t>要求</w:t>
      </w:r>
      <w:r>
        <w:rPr>
          <w:rFonts w:hint="eastAsia" w:ascii="宋体" w:hAnsi="宋体" w:eastAsia="仿宋_GB2312" w:cs="仿宋_GB2312"/>
          <w:sz w:val="32"/>
          <w:szCs w:val="32"/>
          <w:lang w:bidi="ar"/>
        </w:rPr>
        <w:t>，结合我省实际，制定本方案。</w:t>
      </w:r>
    </w:p>
    <w:p w14:paraId="2DF25DA1">
      <w:pPr>
        <w:autoSpaceDE w:val="0"/>
        <w:ind w:firstLine="640" w:firstLineChars="200"/>
        <w:rPr>
          <w:rFonts w:hint="eastAsia" w:ascii="宋体" w:hAnsi="宋体" w:eastAsia="仿宋_GB2312" w:cs="仿宋_GB2312"/>
          <w:sz w:val="32"/>
          <w:szCs w:val="32"/>
        </w:rPr>
      </w:pPr>
      <w:r>
        <w:rPr>
          <w:rFonts w:hint="eastAsia" w:ascii="宋体" w:hAnsi="宋体" w:eastAsia="黑体" w:cs="黑体"/>
          <w:sz w:val="32"/>
          <w:szCs w:val="32"/>
          <w:lang w:bidi="ar"/>
        </w:rPr>
        <w:t>一、工作目标</w:t>
      </w:r>
    </w:p>
    <w:p w14:paraId="2F89EF71">
      <w:pPr>
        <w:autoSpaceDE w:val="0"/>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lang w:bidi="ar"/>
        </w:rPr>
        <w:t>统筹推进农村和城市消费，做好支持政策跨年度衔接和平稳有序过渡。</w:t>
      </w:r>
      <w:r>
        <w:rPr>
          <w:rFonts w:hint="eastAsia" w:ascii="宋体" w:hAnsi="宋体" w:cs="宋体"/>
          <w:sz w:val="32"/>
          <w:szCs w:val="32"/>
          <w:lang w:bidi="ar"/>
        </w:rPr>
        <w:t>2025</w:t>
      </w:r>
      <w:r>
        <w:rPr>
          <w:rFonts w:hint="eastAsia" w:ascii="宋体" w:hAnsi="宋体" w:eastAsia="仿宋_GB2312" w:cs="仿宋_GB2312"/>
          <w:sz w:val="32"/>
          <w:szCs w:val="32"/>
          <w:lang w:bidi="ar"/>
        </w:rPr>
        <w:t>年，力争工业领域设备更新</w:t>
      </w:r>
      <w:r>
        <w:rPr>
          <w:rFonts w:hint="eastAsia" w:ascii="宋体" w:hAnsi="宋体" w:cs="宋体"/>
          <w:sz w:val="32"/>
          <w:szCs w:val="32"/>
          <w:lang w:bidi="ar"/>
        </w:rPr>
        <w:t>10</w:t>
      </w:r>
      <w:r>
        <w:rPr>
          <w:rFonts w:hint="eastAsia" w:ascii="宋体" w:hAnsi="宋体" w:eastAsia="仿宋_GB2312" w:cs="仿宋_GB2312"/>
          <w:sz w:val="32"/>
          <w:szCs w:val="32"/>
          <w:lang w:bidi="ar"/>
        </w:rPr>
        <w:t>万台（套）以上、农业机械报废更新</w:t>
      </w:r>
      <w:r>
        <w:rPr>
          <w:rFonts w:hint="eastAsia" w:ascii="宋体" w:hAnsi="宋体" w:cs="宋体"/>
          <w:sz w:val="32"/>
          <w:szCs w:val="32"/>
          <w:lang w:bidi="ar"/>
        </w:rPr>
        <w:t>1</w:t>
      </w:r>
      <w:r>
        <w:rPr>
          <w:rFonts w:hint="eastAsia" w:ascii="宋体" w:hAnsi="宋体" w:eastAsia="仿宋_GB2312" w:cs="仿宋_GB2312"/>
          <w:sz w:val="32"/>
          <w:szCs w:val="32"/>
          <w:lang w:bidi="ar"/>
        </w:rPr>
        <w:t>万台（套）、老旧营运货车报废5000辆和更新2000辆、新能源城市公交车及动力电池更新1600辆、个人乘用车报废更新和置换更新</w:t>
      </w:r>
      <w:r>
        <w:rPr>
          <w:rFonts w:hint="eastAsia" w:ascii="宋体" w:hAnsi="宋体" w:eastAsia="仿宋_GB2312" w:cs="宋体"/>
          <w:sz w:val="32"/>
          <w:szCs w:val="32"/>
          <w:lang w:bidi="ar"/>
        </w:rPr>
        <w:t>2</w:t>
      </w:r>
      <w:r>
        <w:rPr>
          <w:rFonts w:hint="eastAsia" w:ascii="宋体" w:hAnsi="宋体" w:cs="宋体"/>
          <w:sz w:val="32"/>
          <w:szCs w:val="32"/>
          <w:lang w:bidi="ar"/>
        </w:rPr>
        <w:t>5</w:t>
      </w:r>
      <w:r>
        <w:rPr>
          <w:rFonts w:hint="eastAsia" w:ascii="宋体" w:hAnsi="宋体" w:eastAsia="仿宋_GB2312" w:cs="仿宋_GB2312"/>
          <w:sz w:val="32"/>
          <w:szCs w:val="32"/>
          <w:lang w:bidi="ar"/>
        </w:rPr>
        <w:t>万辆以上、家电产品以旧换新</w:t>
      </w:r>
      <w:r>
        <w:rPr>
          <w:rFonts w:hint="eastAsia" w:ascii="宋体" w:hAnsi="宋体" w:eastAsia="仿宋_GB2312" w:cs="宋体"/>
          <w:sz w:val="32"/>
          <w:szCs w:val="32"/>
          <w:lang w:bidi="ar"/>
        </w:rPr>
        <w:t>20</w:t>
      </w:r>
      <w:r>
        <w:rPr>
          <w:rFonts w:hint="eastAsia" w:ascii="宋体" w:hAnsi="宋体" w:cs="宋体"/>
          <w:sz w:val="32"/>
          <w:szCs w:val="32"/>
          <w:lang w:bidi="ar"/>
        </w:rPr>
        <w:t>0</w:t>
      </w:r>
      <w:r>
        <w:rPr>
          <w:rFonts w:hint="eastAsia" w:ascii="宋体" w:hAnsi="宋体" w:eastAsia="仿宋_GB2312" w:cs="仿宋_GB2312"/>
          <w:sz w:val="32"/>
          <w:szCs w:val="32"/>
          <w:lang w:bidi="ar"/>
        </w:rPr>
        <w:t>万台（套）、电动自行车以旧换新</w:t>
      </w:r>
      <w:r>
        <w:rPr>
          <w:rFonts w:hint="eastAsia" w:ascii="宋体" w:hAnsi="宋体" w:cs="宋体"/>
          <w:sz w:val="32"/>
          <w:szCs w:val="32"/>
          <w:lang w:bidi="ar"/>
        </w:rPr>
        <w:t>10</w:t>
      </w:r>
      <w:r>
        <w:rPr>
          <w:rFonts w:hint="eastAsia" w:ascii="宋体" w:hAnsi="宋体" w:eastAsia="仿宋_GB2312" w:cs="仿宋_GB2312"/>
          <w:sz w:val="32"/>
          <w:szCs w:val="32"/>
          <w:lang w:bidi="ar"/>
        </w:rPr>
        <w:t>万辆、居家适老化改造</w:t>
      </w:r>
      <w:r>
        <w:rPr>
          <w:rFonts w:hint="eastAsia" w:ascii="宋体" w:hAnsi="宋体" w:eastAsia="仿宋_GB2312" w:cs="宋体"/>
          <w:sz w:val="32"/>
          <w:szCs w:val="32"/>
          <w:lang w:bidi="ar"/>
        </w:rPr>
        <w:t>1</w:t>
      </w:r>
      <w:r>
        <w:rPr>
          <w:rFonts w:hint="eastAsia" w:ascii="宋体" w:hAnsi="宋体" w:cs="宋体"/>
          <w:sz w:val="32"/>
          <w:szCs w:val="32"/>
          <w:lang w:bidi="ar"/>
        </w:rPr>
        <w:t>.5</w:t>
      </w:r>
      <w:r>
        <w:rPr>
          <w:rFonts w:hint="eastAsia" w:ascii="宋体" w:hAnsi="宋体" w:eastAsia="仿宋_GB2312" w:cs="仿宋_GB2312"/>
          <w:sz w:val="32"/>
          <w:szCs w:val="32"/>
          <w:lang w:bidi="ar"/>
        </w:rPr>
        <w:t>万户、住宅老旧电梯更换</w:t>
      </w:r>
      <w:r>
        <w:rPr>
          <w:rFonts w:hint="eastAsia" w:ascii="宋体" w:hAnsi="宋体" w:eastAsia="仿宋_GB2312" w:cs="宋体"/>
          <w:sz w:val="32"/>
          <w:szCs w:val="32"/>
          <w:lang w:bidi="ar"/>
        </w:rPr>
        <w:t>1700</w:t>
      </w:r>
      <w:r>
        <w:rPr>
          <w:rFonts w:hint="eastAsia" w:ascii="宋体" w:hAnsi="宋体" w:eastAsia="仿宋_GB2312" w:cs="仿宋_GB2312"/>
          <w:sz w:val="32"/>
          <w:szCs w:val="32"/>
          <w:lang w:bidi="ar"/>
        </w:rPr>
        <w:t>台。回收循环利用能力进一步提高，设备更新和消费品以旧换新标准进一步健全。</w:t>
      </w:r>
    </w:p>
    <w:p w14:paraId="57D55823">
      <w:pPr>
        <w:autoSpaceDE w:val="0"/>
        <w:ind w:firstLine="640" w:firstLineChars="200"/>
        <w:rPr>
          <w:rFonts w:hint="eastAsia" w:ascii="宋体" w:hAnsi="宋体" w:eastAsia="黑体" w:cs="黑体"/>
          <w:sz w:val="32"/>
          <w:szCs w:val="32"/>
        </w:rPr>
      </w:pPr>
      <w:r>
        <w:rPr>
          <w:rFonts w:hint="eastAsia" w:ascii="宋体" w:hAnsi="宋体" w:eastAsia="黑体" w:cs="黑体"/>
          <w:sz w:val="32"/>
          <w:szCs w:val="32"/>
          <w:lang w:bidi="ar"/>
        </w:rPr>
        <w:t>二、加力推进设备更新</w:t>
      </w:r>
    </w:p>
    <w:p w14:paraId="243BD70A">
      <w:pPr>
        <w:autoSpaceDE w:val="0"/>
        <w:ind w:firstLine="640" w:firstLineChars="200"/>
        <w:rPr>
          <w:rFonts w:hint="eastAsia" w:ascii="宋体" w:hAnsi="宋体" w:eastAsia="楷体_GB2312" w:cs="仿宋_GB2312"/>
          <w:sz w:val="32"/>
          <w:szCs w:val="32"/>
        </w:rPr>
      </w:pPr>
      <w:r>
        <w:rPr>
          <w:rFonts w:hint="eastAsia" w:ascii="宋体" w:hAnsi="宋体" w:eastAsia="楷体_GB2312" w:cs="楷体_GB2312"/>
          <w:sz w:val="32"/>
          <w:szCs w:val="32"/>
          <w:lang w:bidi="ar"/>
        </w:rPr>
        <w:t>（一）扩大设备更新支持范围</w:t>
      </w:r>
      <w:r>
        <w:rPr>
          <w:rFonts w:hint="eastAsia" w:ascii="宋体" w:hAnsi="宋体" w:eastAsia="仿宋_GB2312" w:cs="仿宋_GB2312"/>
          <w:sz w:val="32"/>
          <w:szCs w:val="32"/>
          <w:lang w:bidi="ar"/>
        </w:rPr>
        <w:t>。超长期特别国债资金支持重点领域设备更新，在支持工业、用能设备、能源电力、交通运输、物流、环境基础设施、教育、文旅、医疗、老旧电梯等设备更新基础上，新增支持电子信息、安全生产、设施农业等领域，重点支持高端化、智能化、绿色化设备应用，加快传统制造业转型升级。鼓励有条件的地方以工业园区、产业集群为载体，整体部署并规模化实施设备更新。</w:t>
      </w:r>
    </w:p>
    <w:p w14:paraId="63B049F0">
      <w:pPr>
        <w:pStyle w:val="19"/>
        <w:autoSpaceDE w:val="0"/>
        <w:spacing w:beforeAutospacing="0" w:afterAutospacing="0"/>
        <w:ind w:firstLine="640" w:firstLineChars="200"/>
        <w:jc w:val="both"/>
        <w:rPr>
          <w:rFonts w:hint="eastAsia" w:ascii="宋体" w:hAnsi="宋体" w:eastAsia="楷体_GB2312" w:cs="仿宋_GB2312"/>
          <w:sz w:val="32"/>
          <w:szCs w:val="32"/>
        </w:rPr>
      </w:pPr>
      <w:r>
        <w:rPr>
          <w:rFonts w:hint="eastAsia" w:ascii="宋体" w:hAnsi="宋体" w:eastAsia="楷体_GB2312" w:cs="楷体_GB2312"/>
          <w:kern w:val="2"/>
          <w:sz w:val="32"/>
          <w:szCs w:val="32"/>
          <w:lang w:bidi="ar"/>
        </w:rPr>
        <w:t>（二）强化</w:t>
      </w:r>
      <w:r>
        <w:rPr>
          <w:rFonts w:hint="eastAsia" w:ascii="宋体" w:hAnsi="宋体" w:eastAsia="楷体_GB2312" w:cs="楷体_GB2312"/>
          <w:sz w:val="32"/>
          <w:szCs w:val="32"/>
          <w:lang w:bidi="ar"/>
        </w:rPr>
        <w:t>设备更新</w:t>
      </w:r>
      <w:r>
        <w:rPr>
          <w:rFonts w:hint="eastAsia" w:ascii="宋体" w:hAnsi="宋体" w:eastAsia="楷体_GB2312" w:cs="楷体_GB2312"/>
          <w:kern w:val="2"/>
          <w:sz w:val="32"/>
          <w:szCs w:val="32"/>
          <w:lang w:bidi="ar"/>
        </w:rPr>
        <w:t>项目储备。</w:t>
      </w:r>
      <w:r>
        <w:rPr>
          <w:rFonts w:hint="eastAsia" w:ascii="宋体" w:hAnsi="宋体" w:eastAsia="仿宋_GB2312" w:cs="仿宋_GB2312"/>
          <w:sz w:val="32"/>
          <w:szCs w:val="32"/>
          <w:lang w:bidi="ar"/>
        </w:rPr>
        <w:t>对标技术、能耗、排放、安全等强制性标准和产业结构调整指导目录、设备淘汰目录等，深入开展工业、农业、能源、建筑、交通、教育、文旅、医疗等领域存量设备评估诊断，分领域分行业明确设备更新目标任务和实施</w:t>
      </w:r>
      <w:r>
        <w:rPr>
          <w:rFonts w:hint="eastAsia" w:ascii="宋体" w:hAnsi="宋体" w:eastAsia="仿宋_GB2312" w:cs="仿宋_GB2312"/>
          <w:sz w:val="32"/>
          <w:szCs w:val="32"/>
          <w:lang w:eastAsia="zh-CN" w:bidi="ar"/>
        </w:rPr>
        <w:t>细则</w:t>
      </w:r>
      <w:r>
        <w:rPr>
          <w:rFonts w:hint="eastAsia" w:ascii="宋体" w:hAnsi="宋体" w:eastAsia="仿宋_GB2312" w:cs="仿宋_GB2312"/>
          <w:sz w:val="32"/>
          <w:szCs w:val="32"/>
          <w:lang w:bidi="ar"/>
        </w:rPr>
        <w:t>。依托国家重大建设项目库，加强重点领域设备更新项目常态化储备，滚动更新储备项目清单，强化各类要素保障，提高项目成熟度和可落地性。</w:t>
      </w:r>
    </w:p>
    <w:p w14:paraId="2420CE7C">
      <w:pPr>
        <w:autoSpaceDE w:val="0"/>
        <w:ind w:firstLine="640" w:firstLineChars="200"/>
        <w:rPr>
          <w:rFonts w:hint="eastAsia" w:ascii="宋体" w:hAnsi="宋体" w:eastAsia="仿宋_GB2312" w:cs="仿宋_GB2312"/>
          <w:sz w:val="32"/>
          <w:szCs w:val="32"/>
          <w:lang w:bidi="ar"/>
        </w:rPr>
      </w:pPr>
      <w:r>
        <w:rPr>
          <w:rFonts w:hint="eastAsia" w:ascii="宋体" w:hAnsi="宋体" w:eastAsia="楷体_GB2312" w:cs="楷体_GB2312"/>
          <w:sz w:val="32"/>
          <w:szCs w:val="32"/>
          <w:lang w:bidi="ar"/>
        </w:rPr>
        <w:t>（三）优化支持农业机械、船舶车辆报废更新。</w:t>
      </w:r>
      <w:r>
        <w:rPr>
          <w:rFonts w:hint="eastAsia" w:ascii="宋体" w:hAnsi="宋体" w:eastAsia="仿宋_GB2312" w:cs="仿宋_GB2312"/>
          <w:sz w:val="32"/>
          <w:szCs w:val="32"/>
          <w:lang w:bidi="ar"/>
        </w:rPr>
        <w:t>做好政策衔接，推进农业机械、船舶车辆报废更新。农业机械报废更新扩大支持水稻抛秧机、田间作业检测终端、植保无人机、粮食干燥机（烘干机）、色选机、磨粉机报废更新；将旋耕机、微耕机、茶叶揉捻机等</w:t>
      </w:r>
      <w:r>
        <w:rPr>
          <w:rFonts w:hint="eastAsia" w:ascii="宋体" w:hAnsi="宋体" w:cs="宋体"/>
          <w:sz w:val="32"/>
          <w:szCs w:val="32"/>
          <w:lang w:bidi="ar"/>
        </w:rPr>
        <w:t>12</w:t>
      </w:r>
      <w:r>
        <w:rPr>
          <w:rFonts w:hint="eastAsia" w:ascii="宋体" w:hAnsi="宋体" w:eastAsia="仿宋_GB2312" w:cs="仿宋_GB2312"/>
          <w:sz w:val="32"/>
          <w:szCs w:val="32"/>
          <w:lang w:bidi="ar"/>
        </w:rPr>
        <w:t>类</w:t>
      </w:r>
      <w:r>
        <w:rPr>
          <w:rFonts w:hint="eastAsia" w:ascii="宋体" w:hAnsi="宋体" w:eastAsia="仿宋_GB2312" w:cs="仿宋_GB2312"/>
          <w:sz w:val="32"/>
          <w:szCs w:val="32"/>
          <w:lang w:eastAsia="zh-CN" w:bidi="ar"/>
        </w:rPr>
        <w:t>江西特色</w:t>
      </w:r>
      <w:r>
        <w:rPr>
          <w:rFonts w:hint="eastAsia" w:ascii="宋体" w:hAnsi="宋体" w:eastAsia="仿宋_GB2312" w:cs="仿宋_GB2312"/>
          <w:sz w:val="32"/>
          <w:szCs w:val="32"/>
          <w:lang w:bidi="ar"/>
        </w:rPr>
        <w:t>农机设备纳入补贴范围。继续支持符合条件的老旧</w:t>
      </w:r>
      <w:r>
        <w:rPr>
          <w:rFonts w:hint="default" w:ascii="宋体" w:hAnsi="宋体" w:eastAsia="仿宋_GB2312" w:cs="仿宋_GB2312"/>
          <w:sz w:val="32"/>
          <w:szCs w:val="32"/>
          <w:lang w:bidi="ar"/>
        </w:rPr>
        <w:t>营运</w:t>
      </w:r>
      <w:r>
        <w:rPr>
          <w:rFonts w:hint="eastAsia" w:ascii="宋体" w:hAnsi="宋体" w:eastAsia="仿宋_GB2312" w:cs="仿宋_GB2312"/>
          <w:sz w:val="32"/>
          <w:szCs w:val="32"/>
          <w:lang w:bidi="ar"/>
        </w:rPr>
        <w:t>船舶报废更新，强化老旧营运船舶报废更新项目谋划和实施。老旧营运货车报废更新补贴范围扩大至符合条件的国四及以下排放标准营运类货车；加力支持更新车龄</w:t>
      </w:r>
      <w:r>
        <w:rPr>
          <w:rFonts w:hint="eastAsia" w:ascii="宋体" w:hAnsi="宋体" w:cs="宋体"/>
          <w:sz w:val="32"/>
          <w:szCs w:val="32"/>
          <w:lang w:bidi="ar"/>
        </w:rPr>
        <w:t>8</w:t>
      </w:r>
      <w:r>
        <w:rPr>
          <w:rFonts w:hint="eastAsia" w:ascii="宋体" w:hAnsi="宋体" w:eastAsia="仿宋_GB2312" w:cs="仿宋_GB2312"/>
          <w:sz w:val="32"/>
          <w:szCs w:val="32"/>
          <w:lang w:bidi="ar"/>
        </w:rPr>
        <w:t>年及以上的城市公交车，适当调整补贴标准支持城市公交车超质保期动力电池更新，推进城市公交车电动化替代。</w:t>
      </w:r>
    </w:p>
    <w:p w14:paraId="76CEF21C">
      <w:pPr>
        <w:autoSpaceDE w:val="0"/>
        <w:ind w:firstLine="640" w:firstLineChars="200"/>
        <w:rPr>
          <w:rFonts w:hint="eastAsia" w:ascii="宋体" w:hAnsi="宋体" w:eastAsia="楷体_GB2312" w:cs="楷体_GB2312"/>
          <w:sz w:val="32"/>
          <w:szCs w:val="32"/>
        </w:rPr>
      </w:pPr>
      <w:r>
        <w:rPr>
          <w:rFonts w:hint="eastAsia" w:ascii="宋体" w:hAnsi="宋体" w:eastAsia="楷体_GB2312" w:cs="楷体_GB2312"/>
          <w:sz w:val="32"/>
          <w:szCs w:val="32"/>
          <w:lang w:bidi="ar"/>
        </w:rPr>
        <w:t>（四）用好设备更新贷款贴息政策</w:t>
      </w:r>
      <w:r>
        <w:rPr>
          <w:rFonts w:hint="eastAsia" w:ascii="宋体" w:hAnsi="宋体" w:eastAsia="仿宋_GB2312" w:cs="仿宋_GB2312"/>
          <w:sz w:val="32"/>
          <w:szCs w:val="32"/>
          <w:lang w:bidi="ar"/>
        </w:rPr>
        <w:t>。组织符合条件的经营主体积极申报科技创新和技术改造再贷款，在财政贴息1.5%的基础上，利用超长期特别国债</w:t>
      </w:r>
      <w:r>
        <w:rPr>
          <w:rFonts w:hint="default" w:ascii="宋体" w:hAnsi="宋体" w:eastAsia="仿宋_GB2312" w:cs="仿宋_GB2312"/>
          <w:sz w:val="32"/>
          <w:szCs w:val="32"/>
          <w:lang w:bidi="ar"/>
        </w:rPr>
        <w:t>资金</w:t>
      </w:r>
      <w:r>
        <w:rPr>
          <w:rFonts w:hint="eastAsia" w:ascii="宋体" w:hAnsi="宋体" w:eastAsia="仿宋_GB2312" w:cs="仿宋_GB2312"/>
          <w:sz w:val="32"/>
          <w:szCs w:val="32"/>
          <w:lang w:bidi="ar"/>
        </w:rPr>
        <w:t>进行额外贴息，降低经营主体设备更新融资成本。</w:t>
      </w:r>
      <w:r>
        <w:rPr>
          <w:rFonts w:hint="eastAsia" w:ascii="宋体" w:hAnsi="宋体" w:eastAsia="仿宋_GB2312" w:cs="仿宋_GB2312"/>
          <w:sz w:val="32"/>
          <w:szCs w:val="32"/>
          <w:lang w:eastAsia="zh-CN" w:bidi="ar"/>
        </w:rPr>
        <w:t>进一步</w:t>
      </w:r>
      <w:r>
        <w:rPr>
          <w:rFonts w:hint="eastAsia" w:ascii="宋体" w:hAnsi="宋体" w:eastAsia="仿宋_GB2312" w:cs="仿宋_GB2312"/>
          <w:sz w:val="32"/>
          <w:szCs w:val="32"/>
          <w:lang w:bidi="ar"/>
        </w:rPr>
        <w:t>优化项目申报、要件审核、清单推送等操作流程。推动政策承接银行开辟审查审批“绿色通道”，提升清单内设备更新和技术改造项目的融资便利性和可得性。</w:t>
      </w:r>
    </w:p>
    <w:p w14:paraId="79348BE8">
      <w:pPr>
        <w:pStyle w:val="19"/>
        <w:autoSpaceDE w:val="0"/>
        <w:spacing w:beforeAutospacing="0" w:afterAutospacing="0"/>
        <w:ind w:firstLine="640" w:firstLineChars="200"/>
        <w:jc w:val="both"/>
        <w:rPr>
          <w:rFonts w:hint="eastAsia" w:ascii="宋体" w:hAnsi="宋体" w:eastAsia="仿宋_GB2312"/>
          <w:sz w:val="32"/>
          <w:szCs w:val="32"/>
          <w:lang w:bidi="ar"/>
        </w:rPr>
      </w:pPr>
      <w:r>
        <w:rPr>
          <w:rFonts w:hint="eastAsia" w:ascii="宋体" w:hAnsi="宋体" w:eastAsia="楷体_GB2312" w:cs="楷体_GB2312"/>
          <w:kern w:val="2"/>
          <w:sz w:val="32"/>
          <w:szCs w:val="32"/>
          <w:lang w:bidi="ar"/>
        </w:rPr>
        <w:t>（五）完善</w:t>
      </w:r>
      <w:r>
        <w:rPr>
          <w:rFonts w:hint="eastAsia" w:ascii="宋体" w:hAnsi="宋体" w:eastAsia="楷体_GB2312" w:cs="楷体_GB2312"/>
          <w:sz w:val="32"/>
          <w:szCs w:val="32"/>
          <w:lang w:bidi="ar"/>
        </w:rPr>
        <w:t>设备更新</w:t>
      </w:r>
      <w:r>
        <w:rPr>
          <w:rFonts w:hint="eastAsia" w:ascii="宋体" w:hAnsi="宋体" w:eastAsia="楷体_GB2312" w:cs="楷体_GB2312"/>
          <w:kern w:val="2"/>
          <w:sz w:val="32"/>
          <w:szCs w:val="32"/>
          <w:lang w:bidi="ar"/>
        </w:rPr>
        <w:t>项目审核机制</w:t>
      </w:r>
      <w:r>
        <w:rPr>
          <w:rFonts w:hint="eastAsia" w:ascii="宋体" w:hAnsi="宋体" w:eastAsia="仿宋_GB2312" w:cs="仿宋_GB2312"/>
          <w:kern w:val="2"/>
          <w:sz w:val="32"/>
          <w:szCs w:val="32"/>
          <w:lang w:bidi="ar"/>
        </w:rPr>
        <w:t>。超长期特别国债资金支持设备更新，</w:t>
      </w:r>
      <w:r>
        <w:rPr>
          <w:rFonts w:hint="eastAsia" w:ascii="宋体" w:hAnsi="宋体" w:eastAsia="仿宋_GB2312" w:cs="仿宋_GB2312"/>
          <w:sz w:val="32"/>
          <w:szCs w:val="32"/>
          <w:lang w:bidi="ar"/>
        </w:rPr>
        <w:t>用于落实本方案第（一）</w:t>
      </w:r>
      <w:r>
        <w:rPr>
          <w:rFonts w:hint="default" w:ascii="宋体" w:hAnsi="宋体" w:eastAsia="仿宋_GB2312" w:cs="仿宋_GB2312"/>
          <w:sz w:val="32"/>
          <w:szCs w:val="32"/>
          <w:lang w:bidi="ar"/>
        </w:rPr>
        <w:t>项、第（四）项和第</w:t>
      </w:r>
      <w:r>
        <w:rPr>
          <w:rFonts w:hint="eastAsia" w:ascii="宋体" w:hAnsi="宋体" w:eastAsia="仿宋_GB2312" w:cs="仿宋_GB2312"/>
          <w:sz w:val="32"/>
          <w:szCs w:val="32"/>
          <w:lang w:bidi="ar"/>
        </w:rPr>
        <w:t>（三）</w:t>
      </w:r>
      <w:r>
        <w:rPr>
          <w:rFonts w:hint="default" w:ascii="宋体" w:hAnsi="宋体" w:eastAsia="仿宋_GB2312" w:cs="仿宋_GB2312"/>
          <w:sz w:val="32"/>
          <w:szCs w:val="32"/>
          <w:lang w:bidi="ar"/>
        </w:rPr>
        <w:t>项</w:t>
      </w:r>
      <w:r>
        <w:rPr>
          <w:rFonts w:hint="eastAsia" w:ascii="宋体" w:hAnsi="宋体" w:eastAsia="仿宋_GB2312" w:cs="仿宋_GB2312"/>
          <w:sz w:val="32"/>
          <w:szCs w:val="32"/>
          <w:lang w:bidi="ar"/>
        </w:rPr>
        <w:t>中“</w:t>
      </w:r>
      <w:r>
        <w:rPr>
          <w:rFonts w:hint="eastAsia" w:ascii="宋体" w:hAnsi="宋体" w:eastAsia="仿宋_GB2312" w:cs="仿宋_GB2312"/>
          <w:kern w:val="2"/>
          <w:sz w:val="32"/>
          <w:szCs w:val="32"/>
          <w:lang w:bidi="ar"/>
        </w:rPr>
        <w:t>老旧</w:t>
      </w:r>
      <w:r>
        <w:rPr>
          <w:rFonts w:hint="default" w:ascii="宋体" w:hAnsi="宋体" w:eastAsia="仿宋_GB2312" w:cs="仿宋_GB2312"/>
          <w:kern w:val="2"/>
          <w:sz w:val="32"/>
          <w:szCs w:val="32"/>
          <w:lang w:bidi="ar"/>
        </w:rPr>
        <w:t>营运</w:t>
      </w:r>
      <w:r>
        <w:rPr>
          <w:rFonts w:hint="eastAsia" w:ascii="宋体" w:hAnsi="宋体" w:eastAsia="仿宋_GB2312" w:cs="仿宋_GB2312"/>
          <w:kern w:val="2"/>
          <w:sz w:val="32"/>
          <w:szCs w:val="32"/>
          <w:lang w:bidi="ar"/>
        </w:rPr>
        <w:t>船舶报</w:t>
      </w:r>
      <w:r>
        <w:rPr>
          <w:rFonts w:hint="eastAsia" w:ascii="宋体" w:hAnsi="宋体" w:eastAsia="仿宋_GB2312" w:cs="仿宋_GB2312"/>
          <w:sz w:val="32"/>
          <w:szCs w:val="32"/>
          <w:lang w:bidi="ar"/>
        </w:rPr>
        <w:t>废更新”所列支持政策。完善“第三方评审</w:t>
      </w:r>
      <w:r>
        <w:rPr>
          <w:rFonts w:hint="eastAsia" w:ascii="宋体" w:hAnsi="宋体" w:cs="宋体"/>
          <w:sz w:val="32"/>
          <w:szCs w:val="32"/>
          <w:lang w:bidi="ar"/>
        </w:rPr>
        <w:t>+</w:t>
      </w:r>
      <w:r>
        <w:rPr>
          <w:rFonts w:hint="eastAsia" w:ascii="宋体" w:hAnsi="宋体" w:eastAsia="仿宋_GB2312" w:cs="仿宋_GB2312"/>
          <w:sz w:val="32"/>
          <w:szCs w:val="32"/>
          <w:lang w:bidi="ar"/>
        </w:rPr>
        <w:t>部门联审”项目审核机制，简化申报审批流程，加快推进办理项目前期手续。按照“地方把关、省级审核”方式筛选项目，全力</w:t>
      </w:r>
      <w:r>
        <w:rPr>
          <w:rFonts w:hint="eastAsia" w:ascii="宋体" w:hAnsi="宋体" w:eastAsia="仿宋_GB2312"/>
          <w:sz w:val="32"/>
          <w:szCs w:val="32"/>
          <w:lang w:bidi="ar"/>
        </w:rPr>
        <w:t>争取超长期特别国债资金支持。</w:t>
      </w:r>
    </w:p>
    <w:p w14:paraId="17E7BB1D">
      <w:pPr>
        <w:pStyle w:val="19"/>
        <w:autoSpaceDE w:val="0"/>
        <w:spacing w:beforeAutospacing="0" w:afterAutospacing="0"/>
        <w:ind w:firstLine="640" w:firstLineChars="200"/>
        <w:jc w:val="both"/>
        <w:rPr>
          <w:rFonts w:hint="eastAsia" w:ascii="宋体" w:hAnsi="宋体" w:eastAsia="楷体_GB2312" w:cs="楷体_GB2312"/>
          <w:sz w:val="32"/>
          <w:szCs w:val="32"/>
        </w:rPr>
      </w:pPr>
      <w:r>
        <w:rPr>
          <w:rFonts w:hint="eastAsia" w:ascii="宋体" w:hAnsi="宋体" w:eastAsia="楷体_GB2312" w:cs="楷体_GB2312"/>
          <w:kern w:val="2"/>
          <w:sz w:val="32"/>
          <w:szCs w:val="32"/>
          <w:lang w:bidi="ar"/>
        </w:rPr>
        <w:t>（六）加强</w:t>
      </w:r>
      <w:r>
        <w:rPr>
          <w:rFonts w:hint="eastAsia" w:ascii="宋体" w:hAnsi="宋体" w:eastAsia="楷体_GB2312" w:cs="楷体_GB2312"/>
          <w:sz w:val="32"/>
          <w:szCs w:val="32"/>
          <w:lang w:bidi="ar"/>
        </w:rPr>
        <w:t>设备更新</w:t>
      </w:r>
      <w:r>
        <w:rPr>
          <w:rFonts w:hint="eastAsia" w:ascii="宋体" w:hAnsi="宋体" w:eastAsia="楷体_GB2312" w:cs="楷体_GB2312"/>
          <w:kern w:val="2"/>
          <w:sz w:val="32"/>
          <w:szCs w:val="32"/>
          <w:lang w:bidi="ar"/>
        </w:rPr>
        <w:t>项目监管</w:t>
      </w:r>
      <w:r>
        <w:rPr>
          <w:rFonts w:hint="eastAsia" w:ascii="宋体" w:hAnsi="宋体" w:eastAsia="仿宋_GB2312" w:cs="仿宋_GB2312"/>
          <w:kern w:val="2"/>
          <w:sz w:val="32"/>
          <w:szCs w:val="32"/>
          <w:lang w:bidi="ar"/>
        </w:rPr>
        <w:t>。省发展改革委、省有关行业主管部门按职责分工，加强对项目实施和资金使用全链条督促指导，统筹开展线上监控预警和线下实地核查。</w:t>
      </w:r>
      <w:r>
        <w:rPr>
          <w:rFonts w:hint="eastAsia" w:ascii="宋体" w:hAnsi="宋体" w:eastAsia="仿宋_GB2312" w:cs="仿宋_GB2312"/>
          <w:sz w:val="32"/>
          <w:szCs w:val="32"/>
          <w:lang w:bidi="ar"/>
        </w:rPr>
        <w:t>各设区市人民政府是项目和资金管理第一责任主体</w:t>
      </w:r>
      <w:r>
        <w:rPr>
          <w:rFonts w:hint="eastAsia" w:ascii="宋体" w:hAnsi="宋体" w:eastAsia="仿宋_GB2312" w:cs="仿宋_GB2312"/>
          <w:kern w:val="2"/>
          <w:sz w:val="32"/>
          <w:szCs w:val="32"/>
          <w:lang w:bidi="ar"/>
        </w:rPr>
        <w:t>，</w:t>
      </w:r>
      <w:r>
        <w:rPr>
          <w:rFonts w:hint="eastAsia" w:ascii="宋体" w:hAnsi="宋体" w:eastAsia="仿宋_GB2312" w:cs="仿宋_GB2312"/>
          <w:kern w:val="2"/>
          <w:sz w:val="32"/>
          <w:szCs w:val="32"/>
          <w:lang w:eastAsia="zh-CN" w:bidi="ar"/>
        </w:rPr>
        <w:t>全面</w:t>
      </w:r>
      <w:r>
        <w:rPr>
          <w:rFonts w:hint="eastAsia" w:ascii="宋体" w:hAnsi="宋体" w:eastAsia="仿宋_GB2312" w:cs="仿宋_GB2312"/>
          <w:kern w:val="2"/>
          <w:sz w:val="32"/>
          <w:szCs w:val="32"/>
          <w:lang w:bidi="ar"/>
        </w:rPr>
        <w:t>落实“两新”专项管理办法要求，</w:t>
      </w:r>
      <w:r>
        <w:rPr>
          <w:rFonts w:hint="eastAsia" w:ascii="宋体" w:hAnsi="宋体" w:eastAsia="仿宋_GB2312" w:cs="仿宋_GB2312"/>
          <w:sz w:val="32"/>
          <w:szCs w:val="32"/>
          <w:lang w:bidi="ar"/>
        </w:rPr>
        <w:t>严格资金管理，加强项目监管督导，</w:t>
      </w:r>
      <w:r>
        <w:rPr>
          <w:rFonts w:hint="eastAsia" w:ascii="宋体" w:hAnsi="宋体" w:eastAsia="仿宋_GB2312" w:cs="仿宋_GB2312"/>
          <w:sz w:val="32"/>
          <w:szCs w:val="32"/>
          <w:lang w:eastAsia="zh-CN" w:bidi="ar"/>
        </w:rPr>
        <w:t>切实提高</w:t>
      </w:r>
      <w:r>
        <w:rPr>
          <w:rFonts w:hint="eastAsia" w:ascii="宋体" w:hAnsi="宋体" w:eastAsia="仿宋_GB2312" w:cs="仿宋_GB2312"/>
          <w:sz w:val="32"/>
          <w:szCs w:val="32"/>
          <w:lang w:bidi="ar"/>
        </w:rPr>
        <w:t>资金使用</w:t>
      </w:r>
      <w:r>
        <w:rPr>
          <w:rFonts w:hint="eastAsia" w:ascii="宋体" w:hAnsi="宋体" w:eastAsia="仿宋_GB2312" w:cs="仿宋_GB2312"/>
          <w:sz w:val="32"/>
          <w:szCs w:val="32"/>
          <w:lang w:eastAsia="zh-CN" w:bidi="ar"/>
        </w:rPr>
        <w:t>质效，</w:t>
      </w:r>
      <w:r>
        <w:rPr>
          <w:rFonts w:hint="eastAsia" w:ascii="宋体" w:hAnsi="宋体" w:eastAsia="仿宋_GB2312" w:cs="仿宋_GB2312"/>
          <w:kern w:val="2"/>
          <w:sz w:val="32"/>
          <w:szCs w:val="32"/>
          <w:lang w:bidi="ar"/>
        </w:rPr>
        <w:t>坚决</w:t>
      </w:r>
      <w:r>
        <w:rPr>
          <w:rFonts w:hint="eastAsia" w:ascii="宋体" w:hAnsi="宋体" w:eastAsia="仿宋_GB2312" w:cs="仿宋_GB2312"/>
          <w:kern w:val="2"/>
          <w:sz w:val="32"/>
          <w:szCs w:val="32"/>
          <w:lang w:eastAsia="zh-CN" w:bidi="ar"/>
        </w:rPr>
        <w:t>杜绝</w:t>
      </w:r>
      <w:r>
        <w:rPr>
          <w:rFonts w:hint="eastAsia" w:ascii="宋体" w:hAnsi="宋体" w:eastAsia="仿宋_GB2312" w:cs="仿宋_GB2312"/>
          <w:sz w:val="32"/>
          <w:szCs w:val="32"/>
          <w:lang w:bidi="ar"/>
        </w:rPr>
        <w:t>挤占挪用</w:t>
      </w:r>
      <w:r>
        <w:rPr>
          <w:rFonts w:hint="eastAsia" w:ascii="宋体" w:hAnsi="宋体" w:eastAsia="仿宋_GB2312" w:cs="仿宋_GB2312"/>
          <w:sz w:val="32"/>
          <w:szCs w:val="32"/>
          <w:lang w:eastAsia="zh-CN" w:bidi="ar"/>
        </w:rPr>
        <w:t>、虚报冒领资金</w:t>
      </w:r>
      <w:r>
        <w:rPr>
          <w:rFonts w:hint="eastAsia" w:ascii="宋体" w:hAnsi="宋体" w:eastAsia="仿宋_GB2312" w:cs="仿宋_GB2312"/>
          <w:sz w:val="32"/>
          <w:szCs w:val="32"/>
          <w:lang w:bidi="ar"/>
        </w:rPr>
        <w:t>等问题。严格执行国库集中支付制度，守牢资金使用红线底线，避免资金沉淀闲置</w:t>
      </w:r>
      <w:r>
        <w:rPr>
          <w:rFonts w:hint="eastAsia" w:ascii="宋体" w:hAnsi="宋体" w:eastAsia="仿宋_GB2312" w:cs="仿宋_GB2312"/>
          <w:sz w:val="32"/>
          <w:szCs w:val="32"/>
          <w:lang w:eastAsia="zh-CN" w:bidi="ar"/>
        </w:rPr>
        <w:t>。对于违规使用资金行为，将</w:t>
      </w:r>
      <w:r>
        <w:rPr>
          <w:rFonts w:hint="eastAsia" w:ascii="宋体" w:hAnsi="宋体" w:eastAsia="仿宋_GB2312" w:cs="仿宋_GB2312"/>
          <w:sz w:val="32"/>
          <w:szCs w:val="32"/>
          <w:lang w:bidi="ar"/>
        </w:rPr>
        <w:t>依法依规严肃追责。</w:t>
      </w:r>
    </w:p>
    <w:p w14:paraId="5214EE00">
      <w:pPr>
        <w:autoSpaceDE w:val="0"/>
        <w:ind w:firstLine="640" w:firstLineChars="200"/>
        <w:rPr>
          <w:rFonts w:hint="eastAsia" w:ascii="宋体" w:hAnsi="宋体" w:eastAsia="楷体_GB2312" w:cs="楷体_GB2312"/>
          <w:sz w:val="32"/>
          <w:szCs w:val="32"/>
        </w:rPr>
      </w:pPr>
      <w:r>
        <w:rPr>
          <w:rFonts w:hint="eastAsia" w:ascii="宋体" w:hAnsi="宋体" w:eastAsia="黑体" w:cs="黑体"/>
          <w:sz w:val="32"/>
          <w:szCs w:val="32"/>
          <w:lang w:bidi="ar"/>
        </w:rPr>
        <w:t>三、扩围支持消费品以旧换新</w:t>
      </w:r>
    </w:p>
    <w:p w14:paraId="3CE512A6">
      <w:pPr>
        <w:autoSpaceDE w:val="0"/>
        <w:ind w:firstLine="640" w:firstLineChars="200"/>
        <w:rPr>
          <w:rFonts w:hint="eastAsia" w:ascii="宋体" w:hAnsi="宋体" w:eastAsia="楷体_GB2312" w:cs="楷体_GB2312"/>
          <w:sz w:val="32"/>
          <w:szCs w:val="32"/>
        </w:rPr>
      </w:pPr>
      <w:r>
        <w:rPr>
          <w:rFonts w:hint="eastAsia" w:ascii="宋体" w:hAnsi="宋体" w:eastAsia="楷体_GB2312" w:cs="楷体_GB2312"/>
          <w:sz w:val="32"/>
          <w:szCs w:val="32"/>
          <w:lang w:bidi="ar"/>
        </w:rPr>
        <w:t>（七）提升消费品以旧换新能力</w:t>
      </w:r>
      <w:r>
        <w:rPr>
          <w:rFonts w:hint="eastAsia" w:ascii="宋体" w:hAnsi="宋体" w:eastAsia="仿宋_GB2312" w:cs="仿宋_GB2312"/>
          <w:sz w:val="32"/>
          <w:szCs w:val="32"/>
          <w:lang w:bidi="ar"/>
        </w:rPr>
        <w:t>。综合设区市常住人口数量、地区生产总值、汽车和家电保有量、2024年消费品以旧换新政策及资金执行情况等因素，合理确定各设区市支持资金规模，按照“激励相容”原则，资金分配向工作成效较好的设区市</w:t>
      </w:r>
      <w:r>
        <w:rPr>
          <w:rFonts w:hint="default" w:ascii="宋体" w:hAnsi="宋体" w:eastAsia="仿宋_GB2312" w:cs="仿宋_GB2312"/>
          <w:sz w:val="32"/>
          <w:szCs w:val="32"/>
          <w:lang w:bidi="ar"/>
        </w:rPr>
        <w:t>适度</w:t>
      </w:r>
      <w:r>
        <w:rPr>
          <w:rFonts w:hint="eastAsia" w:ascii="宋体" w:hAnsi="宋体" w:eastAsia="仿宋_GB2312" w:cs="仿宋_GB2312"/>
          <w:sz w:val="32"/>
          <w:szCs w:val="32"/>
          <w:lang w:bidi="ar"/>
        </w:rPr>
        <w:t>倾斜。聚焦重点领域，优先支持大宗耐用消费品以旧换新，</w:t>
      </w:r>
      <w:r>
        <w:rPr>
          <w:rFonts w:hint="eastAsia" w:ascii="宋体" w:hAnsi="宋体" w:eastAsia="仿宋_GB2312" w:cs="仿宋_GB2312"/>
          <w:sz w:val="32"/>
          <w:szCs w:val="32"/>
          <w:shd w:val="clear" w:color="auto" w:fill="FFFFFF"/>
          <w:lang w:bidi="ar"/>
        </w:rPr>
        <w:t>提质扩容乡村消费</w:t>
      </w:r>
      <w:r>
        <w:rPr>
          <w:rFonts w:hint="eastAsia" w:ascii="宋体" w:hAnsi="宋体" w:eastAsia="仿宋_GB2312" w:cs="仿宋_GB2312"/>
          <w:sz w:val="32"/>
          <w:szCs w:val="32"/>
          <w:lang w:bidi="ar"/>
        </w:rPr>
        <w:t>，探索补贴政策与金融支持联动，充分发挥政策</w:t>
      </w:r>
      <w:r>
        <w:rPr>
          <w:rFonts w:hint="default" w:ascii="宋体" w:hAnsi="宋体" w:eastAsia="仿宋_GB2312" w:cs="仿宋_GB2312"/>
          <w:sz w:val="32"/>
          <w:szCs w:val="32"/>
          <w:lang w:bidi="ar"/>
        </w:rPr>
        <w:t>资金</w:t>
      </w:r>
      <w:r>
        <w:rPr>
          <w:rFonts w:hint="eastAsia" w:ascii="宋体" w:hAnsi="宋体" w:eastAsia="仿宋_GB2312" w:cs="仿宋_GB2312"/>
          <w:sz w:val="32"/>
          <w:szCs w:val="32"/>
          <w:lang w:bidi="ar"/>
        </w:rPr>
        <w:t>撬动作用。</w:t>
      </w:r>
    </w:p>
    <w:p w14:paraId="051F8169">
      <w:pPr>
        <w:autoSpaceDE w:val="0"/>
        <w:ind w:firstLine="640" w:firstLineChars="200"/>
        <w:rPr>
          <w:rFonts w:hint="eastAsia" w:ascii="宋体" w:hAnsi="宋体" w:eastAsia="仿宋_GB2312" w:cs="仿宋_GB2312"/>
          <w:sz w:val="32"/>
          <w:szCs w:val="32"/>
          <w:lang w:bidi="ar"/>
        </w:rPr>
      </w:pPr>
      <w:r>
        <w:rPr>
          <w:rFonts w:hint="eastAsia" w:ascii="宋体" w:hAnsi="宋体" w:eastAsia="楷体_GB2312" w:cs="楷体_GB2312"/>
          <w:sz w:val="32"/>
          <w:szCs w:val="32"/>
          <w:lang w:bidi="ar"/>
        </w:rPr>
        <w:t>（八）加力扩围支持消费品换新购新。</w:t>
      </w:r>
      <w:r>
        <w:rPr>
          <w:rFonts w:hint="eastAsia" w:ascii="宋体" w:hAnsi="宋体" w:eastAsia="仿宋_GB2312" w:cs="仿宋_GB2312"/>
          <w:sz w:val="32"/>
          <w:szCs w:val="32"/>
          <w:lang w:bidi="ar"/>
        </w:rPr>
        <w:t>严格执行国家加力扩围补贴标准，统筹考虑城市和农村消费特点，优化服务方式，用足政策支持农民消费。扩围支持符合政策要求的个人乘用车报废更新，加力支持符合政策要求的个人乘用车置换更新；延续支持个人消费者购买</w:t>
      </w:r>
      <w:r>
        <w:rPr>
          <w:rFonts w:hint="eastAsia" w:ascii="宋体" w:hAnsi="宋体" w:cs="宋体"/>
          <w:sz w:val="32"/>
          <w:szCs w:val="32"/>
          <w:lang w:bidi="ar"/>
        </w:rPr>
        <w:t>2</w:t>
      </w:r>
      <w:r>
        <w:rPr>
          <w:rFonts w:hint="eastAsia" w:ascii="宋体" w:hAnsi="宋体" w:eastAsia="仿宋_GB2312" w:cs="仿宋_GB2312"/>
          <w:sz w:val="32"/>
          <w:szCs w:val="32"/>
          <w:lang w:bidi="ar"/>
        </w:rPr>
        <w:t>级及以上能效或水效标准的冰箱等</w:t>
      </w:r>
      <w:r>
        <w:rPr>
          <w:rFonts w:hint="eastAsia" w:ascii="宋体" w:hAnsi="宋体" w:cs="宋体"/>
          <w:sz w:val="32"/>
          <w:szCs w:val="32"/>
          <w:lang w:bidi="ar"/>
        </w:rPr>
        <w:t>8</w:t>
      </w:r>
      <w:r>
        <w:rPr>
          <w:rFonts w:hint="eastAsia" w:ascii="宋体" w:hAnsi="宋体" w:eastAsia="仿宋_GB2312" w:cs="仿宋_GB2312"/>
          <w:sz w:val="32"/>
          <w:szCs w:val="32"/>
          <w:lang w:bidi="ar"/>
        </w:rPr>
        <w:t>类家电产品以旧换新，扩大支持微波炉、净水器、洗碗机、电饭煲等</w:t>
      </w:r>
      <w:r>
        <w:rPr>
          <w:rFonts w:hint="eastAsia" w:ascii="宋体" w:hAnsi="宋体" w:cs="宋体"/>
          <w:sz w:val="32"/>
          <w:szCs w:val="32"/>
          <w:lang w:bidi="ar"/>
        </w:rPr>
        <w:t>4</w:t>
      </w:r>
      <w:r>
        <w:rPr>
          <w:rFonts w:hint="eastAsia" w:ascii="宋体" w:hAnsi="宋体" w:eastAsia="仿宋_GB2312" w:cs="仿宋_GB2312"/>
          <w:sz w:val="32"/>
          <w:szCs w:val="32"/>
          <w:lang w:bidi="ar"/>
        </w:rPr>
        <w:t>类家电产品。加快推进电动自行车以旧换新。加大对个人消费者在开展旧房装修、厨卫等局部改造、居家适老化改造过程中购置所用物品和材料的补贴力度，积极促进智能家居消费等。实施手机等数码产品购新补贴，支持个人消费者购买手机、平板、智能手表手环等3类数码产品。</w:t>
      </w:r>
    </w:p>
    <w:p w14:paraId="76B0E6AD">
      <w:pPr>
        <w:autoSpaceDE w:val="0"/>
        <w:ind w:firstLine="640" w:firstLineChars="200"/>
        <w:rPr>
          <w:rFonts w:hint="eastAsia" w:ascii="宋体" w:hAnsi="宋体" w:eastAsia="仿宋_GB2312" w:cs="仿宋_GB2312"/>
          <w:sz w:val="32"/>
          <w:szCs w:val="32"/>
          <w:lang w:bidi="ar"/>
        </w:rPr>
      </w:pPr>
      <w:r>
        <w:rPr>
          <w:rFonts w:hint="eastAsia" w:ascii="宋体" w:hAnsi="宋体" w:eastAsia="楷体_GB2312" w:cs="楷体_GB2312"/>
          <w:sz w:val="32"/>
          <w:szCs w:val="32"/>
          <w:lang w:bidi="ar"/>
        </w:rPr>
        <w:t>（九）强化资金支持</w:t>
      </w:r>
      <w:r>
        <w:rPr>
          <w:rFonts w:hint="eastAsia" w:ascii="宋体" w:hAnsi="宋体" w:eastAsia="仿宋_GB2312" w:cs="仿宋_GB2312"/>
          <w:sz w:val="32"/>
          <w:szCs w:val="32"/>
          <w:lang w:bidi="ar"/>
        </w:rPr>
        <w:t>。中央直接向地方安排资金支持消费品以旧换新，用于落实</w:t>
      </w:r>
      <w:r>
        <w:rPr>
          <w:rFonts w:hint="default" w:ascii="宋体" w:hAnsi="宋体" w:eastAsia="仿宋_GB2312" w:cs="仿宋_GB2312"/>
          <w:sz w:val="32"/>
          <w:szCs w:val="32"/>
          <w:lang w:bidi="ar"/>
        </w:rPr>
        <w:t>本方案</w:t>
      </w:r>
      <w:r>
        <w:rPr>
          <w:rFonts w:hint="eastAsia" w:ascii="宋体" w:hAnsi="宋体" w:eastAsia="仿宋_GB2312" w:cs="仿宋_GB2312"/>
          <w:sz w:val="32"/>
          <w:szCs w:val="32"/>
          <w:lang w:bidi="ar"/>
        </w:rPr>
        <w:t>第（八）</w:t>
      </w:r>
      <w:r>
        <w:rPr>
          <w:rFonts w:hint="default" w:ascii="宋体" w:hAnsi="宋体" w:eastAsia="仿宋_GB2312" w:cs="仿宋_GB2312"/>
          <w:sz w:val="32"/>
          <w:szCs w:val="32"/>
          <w:lang w:bidi="ar"/>
        </w:rPr>
        <w:t>项</w:t>
      </w:r>
      <w:r>
        <w:rPr>
          <w:rFonts w:hint="eastAsia" w:ascii="宋体" w:hAnsi="宋体" w:eastAsia="仿宋_GB2312" w:cs="仿宋_GB2312"/>
          <w:sz w:val="32"/>
          <w:szCs w:val="32"/>
          <w:lang w:bidi="ar"/>
        </w:rPr>
        <w:t>和第（三）</w:t>
      </w:r>
      <w:r>
        <w:rPr>
          <w:rFonts w:hint="default" w:ascii="宋体" w:hAnsi="宋体" w:eastAsia="仿宋_GB2312" w:cs="仿宋_GB2312"/>
          <w:sz w:val="32"/>
          <w:szCs w:val="32"/>
          <w:lang w:bidi="ar"/>
        </w:rPr>
        <w:t>项</w:t>
      </w:r>
      <w:r>
        <w:rPr>
          <w:rFonts w:hint="eastAsia" w:ascii="宋体" w:hAnsi="宋体" w:eastAsia="仿宋_GB2312" w:cs="仿宋_GB2312"/>
          <w:sz w:val="32"/>
          <w:szCs w:val="32"/>
          <w:lang w:bidi="ar"/>
        </w:rPr>
        <w:t>中“老旧营运货车和农业机械报废更新、新能源城市公交车及动力电池更新”所列支持政策，按照总体9：1原则实行央地共担，我省地方配套资金按照省级与设区市本级9：1原则共担，县区原则上不负担。对超出</w:t>
      </w:r>
      <w:r>
        <w:rPr>
          <w:rFonts w:hint="default" w:ascii="宋体" w:hAnsi="宋体" w:eastAsia="仿宋_GB2312" w:cs="仿宋_GB2312"/>
          <w:sz w:val="32"/>
          <w:szCs w:val="32"/>
          <w:lang w:bidi="ar"/>
        </w:rPr>
        <w:t>中央下达的消费品以旧换新资金额度</w:t>
      </w:r>
      <w:r>
        <w:rPr>
          <w:rFonts w:hint="eastAsia" w:ascii="宋体" w:hAnsi="宋体" w:eastAsia="仿宋_GB2312" w:cs="仿宋_GB2312"/>
          <w:sz w:val="32"/>
          <w:szCs w:val="32"/>
          <w:lang w:bidi="ar"/>
        </w:rPr>
        <w:t>且中央不再负担的部分，原则上按照省级与设区市本级9：1共担。各地要及时完成2024年消费品以旧换新补贴资金清算，做好支持政策衔接。截至2025年12月31日未用完的中央和省级下达消费品以旧换新资金额度按规定予以收回。</w:t>
      </w:r>
    </w:p>
    <w:p w14:paraId="515FD26B">
      <w:pPr>
        <w:autoSpaceDE w:val="0"/>
        <w:ind w:firstLine="640" w:firstLineChars="200"/>
        <w:rPr>
          <w:rFonts w:hint="eastAsia" w:ascii="宋体" w:hAnsi="宋体" w:eastAsia="楷体_GB2312" w:cs="楷体_GB2312"/>
          <w:sz w:val="32"/>
          <w:szCs w:val="32"/>
        </w:rPr>
      </w:pPr>
      <w:r>
        <w:rPr>
          <w:rFonts w:hint="eastAsia" w:ascii="宋体" w:hAnsi="宋体" w:eastAsia="楷体_GB2312" w:cs="楷体_GB2312"/>
          <w:sz w:val="32"/>
          <w:szCs w:val="32"/>
          <w:lang w:bidi="ar"/>
        </w:rPr>
        <w:t>（十）优化参与门槛。</w:t>
      </w:r>
      <w:r>
        <w:rPr>
          <w:rFonts w:hint="eastAsia" w:ascii="宋体" w:hAnsi="宋体" w:eastAsia="仿宋_GB2312" w:cs="仿宋_GB2312"/>
          <w:sz w:val="32"/>
          <w:szCs w:val="32"/>
          <w:lang w:bidi="ar"/>
        </w:rPr>
        <w:t>各地要合理确定、及时更新参与消费品以旧换新活动的经营主体名单，不得因所有制、注册地、规模、销售额、垫资能力等限制经营主体参与，线上、线下经营主体同等对待。不得限制消费者付款方式和支付凭证类型，不得以参加活动为由要求经营主体采购新支付设备。在做好风险防控的前提下，各地区结合实际预拨部分资金到相应支付平台或经营主体，提高资金清算效率，降低企业垫资和经营压力。</w:t>
      </w:r>
    </w:p>
    <w:p w14:paraId="5A084924">
      <w:pPr>
        <w:autoSpaceDE w:val="0"/>
        <w:ind w:firstLine="640" w:firstLineChars="200"/>
        <w:rPr>
          <w:rFonts w:hint="eastAsia" w:ascii="宋体" w:hAnsi="宋体" w:eastAsia="仿宋_GB2312" w:cs="仿宋_GB2312"/>
          <w:sz w:val="32"/>
          <w:szCs w:val="32"/>
          <w:lang w:bidi="ar"/>
        </w:rPr>
      </w:pPr>
      <w:r>
        <w:rPr>
          <w:rFonts w:hint="eastAsia" w:ascii="宋体" w:hAnsi="宋体" w:eastAsia="楷体_GB2312" w:cs="楷体_GB2312"/>
          <w:sz w:val="32"/>
          <w:szCs w:val="32"/>
          <w:lang w:bidi="ar"/>
        </w:rPr>
        <w:t>（十一）简化补贴流程。</w:t>
      </w:r>
      <w:r>
        <w:rPr>
          <w:rFonts w:hint="eastAsia" w:ascii="宋体" w:hAnsi="宋体" w:eastAsia="仿宋_GB2312" w:cs="仿宋_GB2312"/>
          <w:sz w:val="32"/>
          <w:szCs w:val="32"/>
          <w:lang w:bidi="ar"/>
        </w:rPr>
        <w:t>优化省级服务平台功能，与全国通用的消费补贴数据平台做好对接，从源头上减少信息多头重复填报。优化汽车、家电等消费品以旧换新补贴审核流程，加强跨部门数据联通共享，推动机动车回收证明等凭证电子化，实行多部门联审联批，减少非必要审批层级和环节。在做好资金监管的前提下，明确审核通过到资金拨付至消费者的时限要求，及时高效兑现补贴优惠。</w:t>
      </w:r>
    </w:p>
    <w:p w14:paraId="26C5BCDF">
      <w:pPr>
        <w:autoSpaceDE w:val="0"/>
        <w:ind w:firstLine="640" w:firstLineChars="200"/>
        <w:rPr>
          <w:rFonts w:hint="eastAsia" w:ascii="宋体" w:hAnsi="宋体" w:eastAsia="仿宋_GB2312" w:cs="仿宋_GB2312"/>
          <w:sz w:val="32"/>
          <w:szCs w:val="32"/>
          <w:lang w:bidi="ar"/>
        </w:rPr>
      </w:pPr>
      <w:r>
        <w:rPr>
          <w:rFonts w:hint="eastAsia" w:ascii="宋体" w:hAnsi="宋体" w:eastAsia="楷体_GB2312" w:cs="楷体_GB2312"/>
          <w:sz w:val="32"/>
          <w:szCs w:val="32"/>
          <w:lang w:bidi="ar"/>
        </w:rPr>
        <w:t>（十二）进一步规范市场秩序。</w:t>
      </w:r>
      <w:r>
        <w:rPr>
          <w:rFonts w:hint="eastAsia" w:ascii="宋体" w:hAnsi="宋体" w:eastAsia="仿宋_GB2312" w:cs="仿宋_GB2312"/>
          <w:sz w:val="32"/>
          <w:szCs w:val="32"/>
          <w:lang w:bidi="ar"/>
        </w:rPr>
        <w:t>组织参与消费品以旧换新活动的经营主体实施产品销售价格公开承诺。强化价格监管，对存在价格违法、套</w:t>
      </w:r>
      <w:r>
        <w:rPr>
          <w:rFonts w:hint="default" w:ascii="宋体" w:hAnsi="宋体" w:eastAsia="仿宋_GB2312" w:cs="仿宋_GB2312"/>
          <w:sz w:val="32"/>
          <w:szCs w:val="32"/>
          <w:lang w:bidi="ar"/>
        </w:rPr>
        <w:t>取</w:t>
      </w:r>
      <w:r>
        <w:rPr>
          <w:rFonts w:hint="eastAsia" w:ascii="宋体" w:hAnsi="宋体" w:eastAsia="仿宋_GB2312" w:cs="仿宋_GB2312"/>
          <w:sz w:val="32"/>
          <w:szCs w:val="32"/>
          <w:lang w:bidi="ar"/>
        </w:rPr>
        <w:t>补贴资金等行为的经营主体，取消参加活动资格，追缴补贴资金。坚决防范资金使用迟缓、挤占挪用、虚假冒领、骗补等问题，依法依规严肃处理骗取套取补贴资金等违法行为，曝光违法违规典型案例，涉嫌犯罪的移送司法机关</w:t>
      </w:r>
      <w:r>
        <w:rPr>
          <w:rFonts w:hint="default" w:ascii="宋体" w:hAnsi="宋体" w:eastAsia="仿宋_GB2312" w:cs="仿宋_GB2312"/>
          <w:sz w:val="32"/>
          <w:szCs w:val="32"/>
          <w:lang w:bidi="ar"/>
        </w:rPr>
        <w:t>依法严厉查处</w:t>
      </w:r>
      <w:r>
        <w:rPr>
          <w:rFonts w:hint="eastAsia" w:ascii="宋体" w:hAnsi="宋体" w:eastAsia="仿宋_GB2312" w:cs="仿宋_GB2312"/>
          <w:sz w:val="32"/>
          <w:szCs w:val="32"/>
          <w:lang w:bidi="ar"/>
        </w:rPr>
        <w:t>。落实加快建设全国统一大市场要求，破除地域和渠道限制，促进公平竞争。</w:t>
      </w:r>
    </w:p>
    <w:p w14:paraId="7395F17E">
      <w:pPr>
        <w:autoSpaceDE w:val="0"/>
        <w:ind w:firstLine="640" w:firstLineChars="200"/>
        <w:rPr>
          <w:rFonts w:hint="eastAsia" w:ascii="宋体" w:hAnsi="宋体" w:eastAsia="黑体" w:cs="黑体"/>
          <w:sz w:val="32"/>
          <w:szCs w:val="32"/>
        </w:rPr>
      </w:pPr>
      <w:r>
        <w:rPr>
          <w:rFonts w:hint="eastAsia" w:ascii="宋体" w:hAnsi="宋体" w:eastAsia="黑体" w:cs="黑体"/>
          <w:sz w:val="32"/>
          <w:szCs w:val="32"/>
          <w:lang w:bidi="ar"/>
        </w:rPr>
        <w:t>四、持续提升回收循环利用水平</w:t>
      </w:r>
    </w:p>
    <w:p w14:paraId="53BF2C43">
      <w:pPr>
        <w:autoSpaceDE w:val="0"/>
        <w:ind w:firstLine="640" w:firstLineChars="200"/>
        <w:rPr>
          <w:rFonts w:hint="eastAsia" w:ascii="宋体" w:hAnsi="宋体" w:eastAsia="仿宋_GB2312" w:cs="仿宋_GB2312"/>
          <w:sz w:val="32"/>
          <w:szCs w:val="32"/>
        </w:rPr>
      </w:pPr>
      <w:r>
        <w:rPr>
          <w:rFonts w:hint="eastAsia" w:ascii="宋体" w:hAnsi="宋体" w:eastAsia="楷体_GB2312" w:cs="楷体_GB2312"/>
          <w:sz w:val="32"/>
          <w:szCs w:val="32"/>
          <w:lang w:bidi="ar"/>
        </w:rPr>
        <w:t>（十三）加快回收循环利用能力建设。</w:t>
      </w:r>
      <w:r>
        <w:rPr>
          <w:rFonts w:hint="eastAsia" w:ascii="宋体" w:hAnsi="宋体" w:eastAsia="仿宋_GB2312" w:cs="仿宋_GB2312"/>
          <w:sz w:val="32"/>
          <w:szCs w:val="32"/>
          <w:lang w:bidi="ar"/>
        </w:rPr>
        <w:t>聚焦废钢铁、废有色金属等资源，谋划回收循环利用项目，积极争取超长期特别国债，做大做优回收循环利用产业。推动生态环保和资源利用领域省级投资运营平台建设，畅通资源循环利用链条。加快推进</w:t>
      </w:r>
      <w:r>
        <w:rPr>
          <w:rFonts w:hint="default" w:ascii="宋体" w:hAnsi="宋体" w:eastAsia="仿宋_GB2312" w:cs="仿宋_GB2312"/>
          <w:sz w:val="32"/>
          <w:szCs w:val="32"/>
          <w:lang w:bidi="ar"/>
        </w:rPr>
        <w:t>标准化规范化</w:t>
      </w:r>
      <w:r>
        <w:rPr>
          <w:rFonts w:hint="eastAsia" w:ascii="宋体" w:hAnsi="宋体" w:eastAsia="仿宋_GB2312" w:cs="仿宋_GB2312"/>
          <w:sz w:val="32"/>
          <w:szCs w:val="32"/>
          <w:lang w:bidi="ar"/>
        </w:rPr>
        <w:t>回收利用网络体系建设，推动生活垃圾收运体系和再生资源回收体系“两网融合”。鼓励扩大废钢铁、废有色金属、废旧家电、废旧汽车等再生资源加工利用能力。</w:t>
      </w:r>
      <w:r>
        <w:rPr>
          <w:rFonts w:ascii="宋体" w:hAnsi="宋体" w:eastAsia="仿宋_GB2312" w:cs="仿宋_GB2312"/>
          <w:sz w:val="32"/>
          <w:szCs w:val="32"/>
          <w:lang w:bidi="ar"/>
        </w:rPr>
        <w:t>加强</w:t>
      </w:r>
      <w:r>
        <w:rPr>
          <w:rFonts w:hint="eastAsia" w:ascii="宋体" w:hAnsi="宋体" w:eastAsia="仿宋_GB2312" w:cs="仿宋_GB2312"/>
          <w:sz w:val="32"/>
          <w:szCs w:val="32"/>
          <w:lang w:bidi="ar"/>
        </w:rPr>
        <w:t>回收循环利用重大技术装备科技攻关，培育资源循环领域骨干企业。</w:t>
      </w:r>
    </w:p>
    <w:p w14:paraId="65E5C209">
      <w:pPr>
        <w:pStyle w:val="19"/>
        <w:autoSpaceDE w:val="0"/>
        <w:spacing w:beforeAutospacing="0" w:afterAutospacing="0"/>
        <w:ind w:firstLine="640" w:firstLineChars="200"/>
        <w:jc w:val="both"/>
        <w:rPr>
          <w:rFonts w:hint="eastAsia" w:ascii="宋体" w:hAnsi="宋体" w:eastAsia="仿宋_GB2312" w:cs="仿宋_GB2312"/>
          <w:sz w:val="32"/>
          <w:szCs w:val="32"/>
          <w:lang w:bidi="ar"/>
        </w:rPr>
      </w:pPr>
      <w:r>
        <w:rPr>
          <w:rFonts w:hint="eastAsia" w:ascii="宋体" w:hAnsi="宋体" w:eastAsia="楷体_GB2312" w:cs="楷体_GB2312"/>
          <w:kern w:val="2"/>
          <w:sz w:val="32"/>
          <w:szCs w:val="32"/>
          <w:lang w:bidi="ar"/>
        </w:rPr>
        <w:t>（十四）促进二手商品交易和再制造产业发展。</w:t>
      </w:r>
      <w:r>
        <w:rPr>
          <w:rFonts w:hint="eastAsia" w:ascii="宋体" w:hAnsi="宋体" w:eastAsia="仿宋_GB2312" w:cs="仿宋_GB2312"/>
          <w:sz w:val="32"/>
          <w:szCs w:val="32"/>
          <w:lang w:bidi="ar"/>
        </w:rPr>
        <w:t>积极争取二手商品流通试点城市与试点企业建设。完善二手车交易查询平台，持续优化二手车交易登记管理，支持符合质量等相关要求的二手车出口。完善二手电子产品信息处置机制，加强二手电子产品信息安全监管。鼓励对具备条件的</w:t>
      </w:r>
      <w:r>
        <w:rPr>
          <w:rFonts w:hint="default" w:ascii="宋体" w:hAnsi="宋体" w:eastAsia="仿宋_GB2312" w:cs="仿宋_GB2312"/>
          <w:sz w:val="32"/>
          <w:szCs w:val="32"/>
          <w:lang w:bidi="ar"/>
        </w:rPr>
        <w:t>废旧</w:t>
      </w:r>
      <w:r>
        <w:rPr>
          <w:rFonts w:hint="eastAsia" w:ascii="宋体" w:hAnsi="宋体" w:eastAsia="仿宋_GB2312" w:cs="仿宋_GB2312"/>
          <w:sz w:val="32"/>
          <w:szCs w:val="32"/>
          <w:lang w:bidi="ar"/>
        </w:rPr>
        <w:t>机电</w:t>
      </w:r>
      <w:r>
        <w:rPr>
          <w:rFonts w:hint="default" w:ascii="宋体" w:hAnsi="宋体" w:eastAsia="仿宋_GB2312" w:cs="仿宋_GB2312"/>
          <w:sz w:val="32"/>
          <w:szCs w:val="32"/>
          <w:lang w:bidi="ar"/>
        </w:rPr>
        <w:t>设备</w:t>
      </w:r>
      <w:r>
        <w:rPr>
          <w:rFonts w:hint="eastAsia" w:ascii="宋体" w:hAnsi="宋体" w:eastAsia="仿宋_GB2312" w:cs="仿宋_GB2312"/>
          <w:sz w:val="32"/>
          <w:szCs w:val="32"/>
          <w:lang w:bidi="ar"/>
        </w:rPr>
        <w:t>实施再制造，再制造产品设备质量特性和安全环保性能应不低于原型新品。</w:t>
      </w:r>
    </w:p>
    <w:p w14:paraId="14DAB46A">
      <w:pPr>
        <w:pStyle w:val="19"/>
        <w:autoSpaceDE w:val="0"/>
        <w:spacing w:beforeAutospacing="0" w:afterAutospacing="0"/>
        <w:ind w:firstLine="640" w:firstLineChars="200"/>
        <w:jc w:val="both"/>
        <w:rPr>
          <w:rFonts w:hint="eastAsia" w:ascii="宋体" w:hAnsi="宋体" w:eastAsia="仿宋_GB2312" w:cs="仿宋_GB2312"/>
          <w:sz w:val="32"/>
          <w:szCs w:val="32"/>
          <w:lang w:bidi="ar"/>
        </w:rPr>
      </w:pPr>
      <w:r>
        <w:rPr>
          <w:rFonts w:hint="eastAsia" w:ascii="宋体" w:hAnsi="宋体" w:eastAsia="楷体_GB2312" w:cs="楷体_GB2312"/>
          <w:kern w:val="2"/>
          <w:sz w:val="32"/>
          <w:szCs w:val="32"/>
          <w:lang w:bidi="ar"/>
        </w:rPr>
        <w:t>（十五）推进废弃电器电子产品规范回收处理。</w:t>
      </w:r>
      <w:r>
        <w:rPr>
          <w:rFonts w:hint="eastAsia" w:ascii="宋体" w:hAnsi="宋体" w:eastAsia="仿宋_GB2312" w:cs="仿宋_GB2312"/>
          <w:sz w:val="32"/>
          <w:szCs w:val="32"/>
          <w:lang w:bidi="ar"/>
        </w:rPr>
        <w:t>利用好中央财政继续安排资金支持废弃电器电子产品回收处理工作政策，及时审核具备</w:t>
      </w:r>
      <w:r>
        <w:rPr>
          <w:rFonts w:hint="eastAsia" w:ascii="宋体" w:hAnsi="宋体" w:eastAsia="仿宋_GB2312"/>
          <w:sz w:val="32"/>
          <w:szCs w:val="32"/>
          <w:lang w:bidi="ar"/>
        </w:rPr>
        <w:t>资格的企业废弃电器电子产品拆解量，协助企业获得补贴资金</w:t>
      </w:r>
      <w:r>
        <w:rPr>
          <w:rFonts w:hint="eastAsia" w:ascii="宋体" w:hAnsi="宋体" w:eastAsia="仿宋_GB2312" w:cs="仿宋_GB2312"/>
          <w:sz w:val="32"/>
          <w:szCs w:val="32"/>
          <w:lang w:bidi="ar"/>
        </w:rPr>
        <w:t>。鼓励企业环保化、规范化拆解，争取更多企业列入专项资金支持名单。</w:t>
      </w:r>
    </w:p>
    <w:p w14:paraId="7945471A">
      <w:pPr>
        <w:pStyle w:val="19"/>
        <w:autoSpaceDE w:val="0"/>
        <w:spacing w:beforeAutospacing="0" w:afterAutospacing="0"/>
        <w:ind w:firstLine="640" w:firstLineChars="200"/>
        <w:jc w:val="both"/>
        <w:rPr>
          <w:rFonts w:hint="eastAsia" w:ascii="宋体" w:hAnsi="宋体" w:eastAsia="楷体_GB2312" w:cs="楷体_GB2312"/>
          <w:kern w:val="2"/>
          <w:sz w:val="32"/>
          <w:szCs w:val="32"/>
        </w:rPr>
      </w:pPr>
      <w:r>
        <w:rPr>
          <w:rFonts w:hint="eastAsia" w:ascii="宋体" w:hAnsi="宋体" w:eastAsia="楷体_GB2312" w:cs="楷体_GB2312"/>
          <w:kern w:val="2"/>
          <w:sz w:val="32"/>
          <w:szCs w:val="32"/>
          <w:lang w:bidi="ar"/>
        </w:rPr>
        <w:t>（十六）推动资源回收利用行业高质量发展。</w:t>
      </w:r>
      <w:r>
        <w:rPr>
          <w:rFonts w:hint="eastAsia" w:ascii="宋体" w:hAnsi="宋体" w:eastAsia="仿宋_GB2312" w:cs="仿宋_GB2312"/>
          <w:sz w:val="32"/>
          <w:szCs w:val="32"/>
          <w:lang w:bidi="ar"/>
        </w:rPr>
        <w:t>规范资源回收利用行业税收秩序，全面推行资源回收企业向自然人报废产品出售者“反向开票”。推进再生材料推广应用，落实生产者责任延伸制度，支持汽车、电器电子产品等生产企业提高再生材料应用比例。严厉打击“作坊式”回收拆解，依法依规查处非法回收拆解行为。</w:t>
      </w:r>
    </w:p>
    <w:p w14:paraId="4337A399">
      <w:pPr>
        <w:autoSpaceDE w:val="0"/>
        <w:ind w:firstLine="640" w:firstLineChars="200"/>
        <w:rPr>
          <w:rFonts w:hint="eastAsia" w:ascii="宋体" w:hAnsi="宋体" w:eastAsia="黑体" w:cs="黑体"/>
          <w:sz w:val="32"/>
          <w:szCs w:val="32"/>
        </w:rPr>
      </w:pPr>
      <w:r>
        <w:rPr>
          <w:rFonts w:hint="eastAsia" w:ascii="宋体" w:hAnsi="宋体" w:eastAsia="黑体" w:cs="黑体"/>
          <w:sz w:val="32"/>
          <w:szCs w:val="32"/>
          <w:lang w:bidi="ar"/>
        </w:rPr>
        <w:t>五、充分发挥标准牵引作用</w:t>
      </w:r>
    </w:p>
    <w:p w14:paraId="540F5A92">
      <w:pPr>
        <w:pStyle w:val="19"/>
        <w:autoSpaceDE w:val="0"/>
        <w:spacing w:beforeAutospacing="0" w:afterAutospacing="0"/>
        <w:ind w:firstLine="640" w:firstLineChars="200"/>
        <w:jc w:val="both"/>
        <w:rPr>
          <w:rFonts w:hint="eastAsia" w:ascii="宋体" w:hAnsi="宋体" w:eastAsia="仿宋_GB2312" w:cs="仿宋_GB2312"/>
          <w:sz w:val="32"/>
          <w:szCs w:val="32"/>
          <w:lang w:bidi="ar"/>
        </w:rPr>
      </w:pPr>
      <w:r>
        <w:rPr>
          <w:rFonts w:hint="eastAsia" w:ascii="宋体" w:hAnsi="宋体" w:eastAsia="楷体_GB2312" w:cs="楷体_GB2312"/>
          <w:kern w:val="2"/>
          <w:sz w:val="32"/>
          <w:szCs w:val="32"/>
          <w:lang w:bidi="ar"/>
        </w:rPr>
        <w:t>（十七）加快重要标准制修订。</w:t>
      </w:r>
      <w:r>
        <w:rPr>
          <w:rFonts w:hint="eastAsia" w:ascii="宋体" w:hAnsi="宋体" w:eastAsia="仿宋_GB2312" w:cs="仿宋_GB2312"/>
          <w:sz w:val="32"/>
          <w:szCs w:val="32"/>
          <w:lang w:bidi="ar"/>
        </w:rPr>
        <w:t>对标国际国内先进水平，加快推进大规模设备更新和消费品以旧换新相关标准的制修订。发挥标准先行作用，提升新兴绿色消费标准化工作，支持鼓励社会团体、企业、教育和科研机构等积极参与相关领域国际标准、国家标准、地方标准、行业标准和团体标准研制。</w:t>
      </w:r>
    </w:p>
    <w:p w14:paraId="44508604">
      <w:pPr>
        <w:pStyle w:val="19"/>
        <w:autoSpaceDE w:val="0"/>
        <w:spacing w:beforeAutospacing="0" w:afterAutospacing="0"/>
        <w:ind w:firstLine="640" w:firstLineChars="200"/>
        <w:jc w:val="both"/>
        <w:rPr>
          <w:rFonts w:hint="eastAsia" w:ascii="宋体" w:hAnsi="宋体" w:eastAsia="楷体_GB2312" w:cs="楷体_GB2312"/>
          <w:sz w:val="32"/>
          <w:szCs w:val="32"/>
        </w:rPr>
      </w:pPr>
      <w:r>
        <w:rPr>
          <w:rFonts w:hint="eastAsia" w:ascii="宋体" w:hAnsi="宋体" w:eastAsia="楷体_GB2312" w:cs="楷体_GB2312"/>
          <w:sz w:val="32"/>
          <w:szCs w:val="32"/>
          <w:lang w:bidi="ar"/>
        </w:rPr>
        <w:t>（十八）强化标准执行监督</w:t>
      </w:r>
      <w:r>
        <w:rPr>
          <w:rFonts w:hint="eastAsia" w:ascii="宋体" w:hAnsi="宋体" w:eastAsia="楷体_GB2312" w:cs="楷体_GB2312"/>
          <w:kern w:val="2"/>
          <w:sz w:val="32"/>
          <w:szCs w:val="32"/>
          <w:lang w:bidi="ar"/>
        </w:rPr>
        <w:t>。</w:t>
      </w:r>
      <w:r>
        <w:rPr>
          <w:rFonts w:hint="eastAsia" w:ascii="宋体" w:hAnsi="宋体" w:eastAsia="仿宋_GB2312" w:cs="仿宋_GB2312"/>
          <w:sz w:val="32"/>
          <w:szCs w:val="32"/>
          <w:lang w:bidi="ar"/>
        </w:rPr>
        <w:t>严格执行能耗、污染物排放等强制性标准，提升标准约束力。制定全省重点工业产品质量安全监管目录，加强产品质量监督抽查，严厉打击以假充真、以次充好、以旧充新，以及伪造冒用能效水效标识等行为。继续组织遴选产品设备能效和水效“领跑者”。</w:t>
      </w:r>
    </w:p>
    <w:p w14:paraId="6E8417E0">
      <w:pPr>
        <w:autoSpaceDE w:val="0"/>
        <w:ind w:firstLine="640" w:firstLineChars="200"/>
        <w:rPr>
          <w:rFonts w:ascii="宋体" w:hAnsi="宋体" w:eastAsia="仿宋_GB2312" w:cs="仿宋_GB2312"/>
          <w:kern w:val="0"/>
          <w:sz w:val="32"/>
          <w:szCs w:val="32"/>
          <w:lang w:bidi="ar"/>
        </w:rPr>
      </w:pPr>
      <w:r>
        <w:rPr>
          <w:rFonts w:ascii="宋体" w:hAnsi="宋体" w:eastAsia="仿宋_GB2312" w:cs="仿宋_GB2312"/>
          <w:kern w:val="0"/>
          <w:sz w:val="32"/>
          <w:szCs w:val="32"/>
          <w:lang w:bidi="ar"/>
        </w:rPr>
        <w:t>省发展改革委发挥省“两新”联席会议机制牵头部门作用，会同省财政厅安排2025年超长期特别国债资金加力扩围实施“两新”政策，加强统筹协调和跟踪调度。省商务厅、省交通运输厅、省农业农村厅、省民政厅等部门按职责及时落实落细各领域</w:t>
      </w:r>
      <w:r>
        <w:rPr>
          <w:rFonts w:hint="eastAsia" w:ascii="宋体" w:hAnsi="宋体" w:eastAsia="仿宋_GB2312" w:cs="仿宋_GB2312"/>
          <w:kern w:val="0"/>
          <w:sz w:val="32"/>
          <w:szCs w:val="32"/>
          <w:lang w:eastAsia="zh-CN" w:bidi="ar"/>
        </w:rPr>
        <w:t>“两新”</w:t>
      </w:r>
      <w:r>
        <w:rPr>
          <w:rFonts w:ascii="宋体" w:hAnsi="宋体" w:eastAsia="仿宋_GB2312" w:cs="仿宋_GB2312"/>
          <w:kern w:val="0"/>
          <w:sz w:val="32"/>
          <w:szCs w:val="32"/>
          <w:lang w:bidi="ar"/>
        </w:rPr>
        <w:t>政策、制定实施细则、优化换新程序</w:t>
      </w:r>
      <w:r>
        <w:rPr>
          <w:rFonts w:hint="eastAsia" w:ascii="宋体" w:hAnsi="宋体" w:eastAsia="仿宋_GB2312" w:cs="仿宋_GB2312"/>
          <w:kern w:val="0"/>
          <w:sz w:val="32"/>
          <w:szCs w:val="32"/>
          <w:lang w:bidi="ar"/>
        </w:rPr>
        <w:t>，</w:t>
      </w:r>
      <w:r>
        <w:rPr>
          <w:rFonts w:hint="eastAsia" w:ascii="宋体" w:hAnsi="宋体" w:eastAsia="仿宋_GB2312" w:cs="仿宋_GB2312"/>
          <w:kern w:val="0"/>
          <w:sz w:val="32"/>
          <w:szCs w:val="32"/>
          <w:lang w:eastAsia="zh-CN" w:bidi="ar"/>
        </w:rPr>
        <w:t>提高资</w:t>
      </w:r>
      <w:r>
        <w:rPr>
          <w:rFonts w:hint="eastAsia" w:ascii="宋体" w:hAnsi="宋体" w:eastAsia="仿宋_GB2312" w:cs="仿宋_GB2312"/>
          <w:kern w:val="0"/>
          <w:sz w:val="32"/>
          <w:szCs w:val="32"/>
          <w:lang w:bidi="ar"/>
        </w:rPr>
        <w:t>金兑付审核</w:t>
      </w:r>
      <w:r>
        <w:rPr>
          <w:rFonts w:hint="eastAsia" w:ascii="宋体" w:hAnsi="宋体" w:eastAsia="仿宋_GB2312" w:cs="仿宋_GB2312"/>
          <w:kern w:val="0"/>
          <w:sz w:val="32"/>
          <w:szCs w:val="32"/>
          <w:lang w:eastAsia="zh-CN" w:bidi="ar"/>
        </w:rPr>
        <w:t>效率</w:t>
      </w:r>
      <w:r>
        <w:rPr>
          <w:rFonts w:ascii="宋体" w:hAnsi="宋体" w:eastAsia="仿宋_GB2312" w:cs="仿宋_GB2312"/>
          <w:kern w:val="0"/>
          <w:sz w:val="32"/>
          <w:szCs w:val="32"/>
          <w:lang w:bidi="ar"/>
        </w:rPr>
        <w:t>。各地各部门要加大宣传力度，推广典型模式和先进经验。各</w:t>
      </w:r>
      <w:r>
        <w:rPr>
          <w:rFonts w:hint="eastAsia" w:ascii="宋体" w:hAnsi="宋体" w:eastAsia="仿宋_GB2312" w:cs="仿宋_GB2312"/>
          <w:kern w:val="0"/>
          <w:sz w:val="32"/>
          <w:szCs w:val="32"/>
          <w:lang w:bidi="ar"/>
        </w:rPr>
        <w:t>设区市</w:t>
      </w:r>
      <w:r>
        <w:rPr>
          <w:rFonts w:ascii="宋体" w:hAnsi="宋体" w:eastAsia="仿宋_GB2312" w:cs="仿宋_GB2312"/>
          <w:kern w:val="0"/>
          <w:sz w:val="32"/>
          <w:szCs w:val="32"/>
          <w:lang w:bidi="ar"/>
        </w:rPr>
        <w:t>人民政府和</w:t>
      </w:r>
      <w:r>
        <w:rPr>
          <w:rFonts w:hint="eastAsia" w:ascii="宋体" w:hAnsi="宋体" w:eastAsia="仿宋_GB2312" w:cs="仿宋_GB2312"/>
          <w:kern w:val="0"/>
          <w:sz w:val="32"/>
          <w:szCs w:val="32"/>
          <w:lang w:bidi="ar"/>
        </w:rPr>
        <w:t>省</w:t>
      </w:r>
      <w:r>
        <w:rPr>
          <w:rFonts w:ascii="宋体" w:hAnsi="宋体" w:eastAsia="仿宋_GB2312" w:cs="仿宋_GB2312"/>
          <w:kern w:val="0"/>
          <w:sz w:val="32"/>
          <w:szCs w:val="32"/>
          <w:lang w:bidi="ar"/>
        </w:rPr>
        <w:t>有关部门要对工作推进、项目实施、资金使用、绩效目标实现等情况开展自评自查，年底前或根据工作需要适时将</w:t>
      </w:r>
      <w:r>
        <w:rPr>
          <w:rFonts w:hint="eastAsia" w:ascii="宋体" w:hAnsi="宋体" w:eastAsia="仿宋_GB2312" w:cs="仿宋_GB2312"/>
          <w:kern w:val="0"/>
          <w:sz w:val="32"/>
          <w:szCs w:val="32"/>
          <w:lang w:eastAsia="zh-CN" w:bidi="ar"/>
        </w:rPr>
        <w:t>自查自评</w:t>
      </w:r>
      <w:r>
        <w:rPr>
          <w:rFonts w:ascii="宋体" w:hAnsi="宋体" w:eastAsia="仿宋_GB2312" w:cs="仿宋_GB2312"/>
          <w:kern w:val="0"/>
          <w:sz w:val="32"/>
          <w:szCs w:val="32"/>
          <w:lang w:bidi="ar"/>
        </w:rPr>
        <w:t>情况报送</w:t>
      </w:r>
      <w:r>
        <w:rPr>
          <w:rFonts w:hint="eastAsia" w:ascii="宋体" w:hAnsi="宋体" w:eastAsia="仿宋_GB2312" w:cs="仿宋_GB2312"/>
          <w:kern w:val="0"/>
          <w:sz w:val="32"/>
          <w:szCs w:val="32"/>
          <w:lang w:bidi="ar"/>
        </w:rPr>
        <w:t>省</w:t>
      </w:r>
      <w:r>
        <w:rPr>
          <w:rFonts w:ascii="宋体" w:hAnsi="宋体" w:eastAsia="仿宋_GB2312" w:cs="仿宋_GB2312"/>
          <w:kern w:val="0"/>
          <w:sz w:val="32"/>
          <w:szCs w:val="32"/>
          <w:lang w:bidi="ar"/>
        </w:rPr>
        <w:t>发展改革委、</w:t>
      </w:r>
      <w:r>
        <w:rPr>
          <w:rFonts w:hint="eastAsia" w:ascii="宋体" w:hAnsi="宋体" w:eastAsia="仿宋_GB2312" w:cs="仿宋_GB2312"/>
          <w:kern w:val="0"/>
          <w:sz w:val="32"/>
          <w:szCs w:val="32"/>
          <w:lang w:bidi="ar"/>
        </w:rPr>
        <w:t>省</w:t>
      </w:r>
      <w:r>
        <w:rPr>
          <w:rFonts w:ascii="宋体" w:hAnsi="宋体" w:eastAsia="仿宋_GB2312" w:cs="仿宋_GB2312"/>
          <w:kern w:val="0"/>
          <w:sz w:val="32"/>
          <w:szCs w:val="32"/>
          <w:lang w:bidi="ar"/>
        </w:rPr>
        <w:t>财政</w:t>
      </w:r>
      <w:r>
        <w:rPr>
          <w:rFonts w:hint="eastAsia" w:ascii="宋体" w:hAnsi="宋体" w:eastAsia="仿宋_GB2312" w:cs="仿宋_GB2312"/>
          <w:kern w:val="0"/>
          <w:sz w:val="32"/>
          <w:szCs w:val="32"/>
          <w:lang w:bidi="ar"/>
        </w:rPr>
        <w:t>厅</w:t>
      </w:r>
      <w:r>
        <w:rPr>
          <w:rFonts w:hint="default" w:ascii="宋体" w:hAnsi="宋体" w:eastAsia="仿宋_GB2312" w:cs="仿宋_GB2312"/>
          <w:kern w:val="0"/>
          <w:sz w:val="32"/>
          <w:szCs w:val="32"/>
          <w:lang w:bidi="ar"/>
        </w:rPr>
        <w:t>，</w:t>
      </w:r>
      <w:r>
        <w:rPr>
          <w:rFonts w:hint="eastAsia" w:ascii="宋体" w:hAnsi="宋体" w:eastAsia="仿宋_GB2312" w:cs="仿宋_GB2312"/>
          <w:kern w:val="0"/>
          <w:sz w:val="32"/>
          <w:szCs w:val="32"/>
          <w:lang w:eastAsia="zh-CN" w:bidi="ar"/>
        </w:rPr>
        <w:t>由省发展改革委、省财政厅汇总后按程序报送省政府。</w:t>
      </w:r>
      <w:r>
        <w:rPr>
          <w:rFonts w:hint="eastAsia" w:ascii="宋体" w:hAnsi="宋体" w:eastAsia="仿宋_GB2312" w:cs="仿宋_GB2312"/>
          <w:kern w:val="0"/>
          <w:sz w:val="32"/>
          <w:szCs w:val="32"/>
          <w:lang w:bidi="ar"/>
        </w:rPr>
        <w:t>绩效评估结果作为后续优化资金安排的重要依据</w:t>
      </w:r>
      <w:r>
        <w:rPr>
          <w:rFonts w:ascii="宋体" w:hAnsi="宋体" w:eastAsia="仿宋_GB2312" w:cs="仿宋_GB2312"/>
          <w:kern w:val="0"/>
          <w:sz w:val="32"/>
          <w:szCs w:val="32"/>
          <w:lang w:bidi="ar"/>
        </w:rPr>
        <w:t>。</w:t>
      </w:r>
    </w:p>
    <w:p w14:paraId="1BBFE1E8">
      <w:pPr>
        <w:pStyle w:val="31"/>
        <w:rPr>
          <w:rFonts w:ascii="宋体" w:hAnsi="宋体"/>
        </w:rPr>
      </w:pPr>
    </w:p>
    <w:p w14:paraId="1224809C">
      <w:pPr>
        <w:autoSpaceDE w:val="0"/>
        <w:ind w:firstLine="640" w:firstLineChars="200"/>
        <w:rPr>
          <w:rFonts w:hint="eastAsia" w:ascii="宋体" w:hAnsi="宋体" w:eastAsia="黑体" w:cs="仿宋_GB2312"/>
          <w:sz w:val="32"/>
          <w:szCs w:val="32"/>
          <w:lang w:eastAsia="zh-CN"/>
        </w:rPr>
      </w:pPr>
      <w:r>
        <w:rPr>
          <w:rFonts w:hint="eastAsia" w:ascii="宋体" w:hAnsi="宋体" w:eastAsia="仿宋_GB2312" w:cs="仿宋_GB2312"/>
          <w:sz w:val="32"/>
          <w:szCs w:val="32"/>
        </w:rPr>
        <w:t>附</w:t>
      </w:r>
      <w:r>
        <w:rPr>
          <w:rFonts w:hint="eastAsia" w:ascii="宋体" w:hAnsi="宋体" w:eastAsia="仿宋_GB2312" w:cs="仿宋_GB2312"/>
          <w:sz w:val="32"/>
          <w:szCs w:val="32"/>
          <w:lang w:eastAsia="zh-CN"/>
        </w:rPr>
        <w:t>件</w:t>
      </w:r>
      <w:r>
        <w:rPr>
          <w:rFonts w:hint="eastAsia" w:ascii="宋体" w:hAnsi="宋体" w:eastAsia="仿宋_GB2312" w:cs="仿宋_GB2312"/>
          <w:sz w:val="32"/>
          <w:szCs w:val="32"/>
        </w:rPr>
        <w:t>：各领域补贴标准</w:t>
      </w:r>
      <w:r>
        <w:rPr>
          <w:rFonts w:hint="eastAsia" w:ascii="宋体" w:hAnsi="宋体" w:eastAsia="仿宋_GB2312" w:cs="仿宋_GB2312"/>
          <w:sz w:val="32"/>
          <w:szCs w:val="32"/>
        </w:rPr>
        <w:br w:type="page"/>
      </w:r>
      <w:r>
        <w:rPr>
          <w:rFonts w:hint="eastAsia" w:ascii="宋体" w:hAnsi="宋体" w:eastAsia="黑体" w:cs="黑体"/>
          <w:sz w:val="32"/>
          <w:szCs w:val="32"/>
        </w:rPr>
        <w:t>附</w:t>
      </w:r>
      <w:r>
        <w:rPr>
          <w:rFonts w:hint="eastAsia" w:ascii="宋体" w:hAnsi="宋体" w:eastAsia="黑体" w:cs="黑体"/>
          <w:sz w:val="32"/>
          <w:szCs w:val="32"/>
          <w:lang w:eastAsia="zh-CN"/>
        </w:rPr>
        <w:t>件</w:t>
      </w:r>
    </w:p>
    <w:p w14:paraId="19578344">
      <w:pPr>
        <w:autoSpaceDE w:val="0"/>
        <w:jc w:val="center"/>
        <w:rPr>
          <w:rFonts w:hint="eastAsia" w:ascii="宋体" w:hAnsi="宋体" w:eastAsia="方正小标宋简体" w:cs="方正小标宋简体"/>
          <w:sz w:val="40"/>
          <w:szCs w:val="40"/>
        </w:rPr>
      </w:pPr>
      <w:r>
        <w:rPr>
          <w:rFonts w:hint="eastAsia" w:ascii="宋体" w:hAnsi="宋体" w:eastAsia="方正小标宋简体" w:cs="方正小标宋简体"/>
          <w:sz w:val="40"/>
          <w:szCs w:val="40"/>
        </w:rPr>
        <w:t>各领域补贴标准</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445"/>
        <w:gridCol w:w="6682"/>
      </w:tblGrid>
      <w:tr w14:paraId="51BD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98" w:type="dxa"/>
            <w:noWrap w:val="0"/>
            <w:vAlign w:val="top"/>
          </w:tcPr>
          <w:p w14:paraId="05603837">
            <w:pPr>
              <w:autoSpaceDE w:val="0"/>
              <w:jc w:val="center"/>
              <w:rPr>
                <w:rFonts w:hint="eastAsia" w:ascii="宋体" w:hAnsi="宋体" w:eastAsia="黑体" w:cs="黑体"/>
                <w:sz w:val="28"/>
                <w:szCs w:val="28"/>
              </w:rPr>
            </w:pPr>
            <w:r>
              <w:rPr>
                <w:rFonts w:hint="eastAsia" w:ascii="宋体" w:hAnsi="宋体" w:eastAsia="黑体" w:cs="黑体"/>
                <w:sz w:val="28"/>
                <w:szCs w:val="28"/>
              </w:rPr>
              <w:t>序号</w:t>
            </w:r>
          </w:p>
        </w:tc>
        <w:tc>
          <w:tcPr>
            <w:tcW w:w="1445" w:type="dxa"/>
            <w:noWrap w:val="0"/>
            <w:vAlign w:val="top"/>
          </w:tcPr>
          <w:p w14:paraId="5B6FE767">
            <w:pPr>
              <w:autoSpaceDE w:val="0"/>
              <w:jc w:val="center"/>
              <w:rPr>
                <w:rFonts w:hint="eastAsia" w:ascii="宋体" w:hAnsi="宋体" w:eastAsia="黑体" w:cs="黑体"/>
                <w:sz w:val="28"/>
                <w:szCs w:val="28"/>
              </w:rPr>
            </w:pPr>
            <w:r>
              <w:rPr>
                <w:rFonts w:hint="eastAsia" w:ascii="宋体" w:hAnsi="宋体" w:eastAsia="黑体" w:cs="黑体"/>
                <w:sz w:val="28"/>
                <w:szCs w:val="28"/>
              </w:rPr>
              <w:t>领域</w:t>
            </w:r>
          </w:p>
        </w:tc>
        <w:tc>
          <w:tcPr>
            <w:tcW w:w="6682" w:type="dxa"/>
            <w:noWrap w:val="0"/>
            <w:vAlign w:val="top"/>
          </w:tcPr>
          <w:p w14:paraId="494C535F">
            <w:pPr>
              <w:autoSpaceDE w:val="0"/>
              <w:jc w:val="center"/>
              <w:rPr>
                <w:rFonts w:hint="eastAsia" w:ascii="宋体" w:hAnsi="宋体" w:eastAsia="黑体" w:cs="黑体"/>
                <w:sz w:val="28"/>
                <w:szCs w:val="28"/>
              </w:rPr>
            </w:pPr>
            <w:r>
              <w:rPr>
                <w:rFonts w:hint="eastAsia" w:ascii="宋体" w:hAnsi="宋体" w:eastAsia="黑体" w:cs="黑体"/>
                <w:sz w:val="28"/>
                <w:szCs w:val="28"/>
              </w:rPr>
              <w:t>补贴标准</w:t>
            </w:r>
          </w:p>
        </w:tc>
      </w:tr>
      <w:tr w14:paraId="73290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8" w:type="dxa"/>
            <w:noWrap w:val="0"/>
            <w:vAlign w:val="center"/>
          </w:tcPr>
          <w:p w14:paraId="0D8D3AA2">
            <w:pPr>
              <w:autoSpaceDE w:val="0"/>
              <w:spacing w:line="420" w:lineRule="exact"/>
              <w:jc w:val="center"/>
              <w:rPr>
                <w:rFonts w:hint="eastAsia" w:ascii="宋体" w:hAnsi="宋体" w:eastAsia="仿宋_GB2312" w:cs="仿宋_GB2312"/>
                <w:sz w:val="28"/>
                <w:szCs w:val="28"/>
              </w:rPr>
            </w:pPr>
            <w:r>
              <w:rPr>
                <w:rFonts w:hint="eastAsia" w:ascii="宋体" w:hAnsi="宋体" w:eastAsia="仿宋_GB2312" w:cs="仿宋_GB2312"/>
                <w:sz w:val="28"/>
                <w:szCs w:val="28"/>
              </w:rPr>
              <w:t>1</w:t>
            </w:r>
          </w:p>
        </w:tc>
        <w:tc>
          <w:tcPr>
            <w:tcW w:w="1445" w:type="dxa"/>
            <w:noWrap w:val="0"/>
            <w:vAlign w:val="center"/>
          </w:tcPr>
          <w:p w14:paraId="58ABA58D">
            <w:pPr>
              <w:autoSpaceDE w:val="0"/>
              <w:spacing w:line="420" w:lineRule="exact"/>
              <w:jc w:val="center"/>
              <w:rPr>
                <w:rFonts w:hint="eastAsia" w:ascii="宋体" w:hAnsi="宋体" w:eastAsia="仿宋_GB2312" w:cs="仿宋_GB2312"/>
                <w:sz w:val="28"/>
                <w:szCs w:val="28"/>
              </w:rPr>
            </w:pPr>
            <w:r>
              <w:rPr>
                <w:rFonts w:hint="eastAsia" w:ascii="宋体" w:hAnsi="宋体" w:eastAsia="仿宋_GB2312" w:cs="仿宋_GB2312"/>
                <w:spacing w:val="7"/>
                <w:sz w:val="28"/>
                <w:szCs w:val="28"/>
              </w:rPr>
              <w:t>汽车报废更新</w:t>
            </w:r>
          </w:p>
        </w:tc>
        <w:tc>
          <w:tcPr>
            <w:tcW w:w="6682" w:type="dxa"/>
            <w:noWrap w:val="0"/>
            <w:vAlign w:val="center"/>
          </w:tcPr>
          <w:p w14:paraId="0C821859">
            <w:pPr>
              <w:autoSpaceDE w:val="0"/>
              <w:spacing w:line="420" w:lineRule="exact"/>
              <w:rPr>
                <w:rFonts w:hint="eastAsia" w:ascii="宋体" w:hAnsi="宋体" w:eastAsia="仿宋_GB2312" w:cs="仿宋_GB2312"/>
                <w:sz w:val="28"/>
                <w:szCs w:val="28"/>
              </w:rPr>
            </w:pPr>
            <w:r>
              <w:rPr>
                <w:rFonts w:hint="eastAsia" w:ascii="宋体" w:hAnsi="宋体" w:eastAsia="仿宋_GB2312" w:cs="仿宋_GB2312"/>
                <w:spacing w:val="7"/>
                <w:kern w:val="0"/>
                <w:sz w:val="28"/>
                <w:szCs w:val="28"/>
              </w:rPr>
              <w:t>在《商务部等7部门关于进一步做好汽车以旧换新有关工作的通知》（商消费函〔2024〕392号）基础上，将符合条件的国四排放标准燃油乘用车纳入可申请报废更新补贴的旧车范围。</w:t>
            </w:r>
            <w:r>
              <w:rPr>
                <w:rFonts w:hint="default" w:ascii="宋体" w:hAnsi="宋体" w:eastAsia="仿宋_GB2312" w:cs="仿宋_GB2312"/>
                <w:spacing w:val="7"/>
                <w:kern w:val="0"/>
                <w:sz w:val="28"/>
                <w:szCs w:val="28"/>
              </w:rPr>
              <w:t>个人消费者</w:t>
            </w:r>
            <w:r>
              <w:rPr>
                <w:rFonts w:hint="eastAsia" w:ascii="宋体" w:hAnsi="宋体" w:eastAsia="仿宋_GB2312" w:cs="仿宋_GB2312"/>
                <w:spacing w:val="7"/>
                <w:kern w:val="0"/>
                <w:sz w:val="28"/>
                <w:szCs w:val="28"/>
              </w:rPr>
              <w:t>报废2012年6月30日前（含当日，下同）注册登记的汽油乘用车、2014年6月30日前注册登记的柴油及其他燃料乘用车，或2018年12月31日前注册登记的新能源乘用车，并购买纳入《减免车辆购置税的新能源汽车车型目录》的新能源乘用车或2.0升及以下排量燃油乘用车，购买新能源乘用车单台补贴2万元、购买2.0升及以下排量燃油乘用车单台补贴1.5万元。相应报废的机动车须为2025年1月8日前登记在本人名下；补贴申请审核期间，其所新购置的汽车应登记在申请人名下。在一个自然年度内，每位个人消费者最多享受一次汽车报废更新补贴。</w:t>
            </w:r>
          </w:p>
        </w:tc>
      </w:tr>
      <w:tr w14:paraId="3B421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8" w:type="dxa"/>
            <w:noWrap w:val="0"/>
            <w:vAlign w:val="center"/>
          </w:tcPr>
          <w:p w14:paraId="047AC26D">
            <w:pPr>
              <w:autoSpaceDE w:val="0"/>
              <w:spacing w:line="420" w:lineRule="exact"/>
              <w:jc w:val="center"/>
              <w:rPr>
                <w:rFonts w:hint="eastAsia" w:ascii="宋体" w:hAnsi="宋体" w:eastAsia="仿宋_GB2312" w:cs="仿宋_GB2312"/>
                <w:sz w:val="28"/>
                <w:szCs w:val="28"/>
              </w:rPr>
            </w:pPr>
            <w:r>
              <w:rPr>
                <w:rFonts w:hint="eastAsia" w:ascii="宋体" w:hAnsi="宋体" w:eastAsia="仿宋_GB2312" w:cs="仿宋_GB2312"/>
                <w:sz w:val="28"/>
                <w:szCs w:val="28"/>
              </w:rPr>
              <w:t>2</w:t>
            </w:r>
          </w:p>
        </w:tc>
        <w:tc>
          <w:tcPr>
            <w:tcW w:w="1445" w:type="dxa"/>
            <w:noWrap w:val="0"/>
            <w:vAlign w:val="center"/>
          </w:tcPr>
          <w:p w14:paraId="68E975BD">
            <w:pPr>
              <w:autoSpaceDE w:val="0"/>
              <w:spacing w:line="420" w:lineRule="exact"/>
              <w:jc w:val="center"/>
              <w:rPr>
                <w:rFonts w:hint="eastAsia" w:ascii="宋体" w:hAnsi="宋体" w:eastAsia="仿宋_GB2312" w:cs="仿宋_GB2312"/>
                <w:sz w:val="28"/>
                <w:szCs w:val="28"/>
              </w:rPr>
            </w:pPr>
            <w:r>
              <w:rPr>
                <w:rFonts w:hint="eastAsia" w:ascii="宋体" w:hAnsi="宋体" w:eastAsia="仿宋_GB2312" w:cs="仿宋_GB2312"/>
                <w:spacing w:val="7"/>
                <w:sz w:val="28"/>
                <w:szCs w:val="28"/>
              </w:rPr>
              <w:t>汽车置换更新</w:t>
            </w:r>
          </w:p>
        </w:tc>
        <w:tc>
          <w:tcPr>
            <w:tcW w:w="6682" w:type="dxa"/>
            <w:noWrap w:val="0"/>
            <w:vAlign w:val="center"/>
          </w:tcPr>
          <w:p w14:paraId="0231F4A4">
            <w:pPr>
              <w:autoSpaceDE w:val="0"/>
              <w:spacing w:line="420" w:lineRule="exact"/>
              <w:rPr>
                <w:rFonts w:hint="eastAsia" w:ascii="宋体" w:hAnsi="宋体" w:eastAsia="仿宋_GB2312" w:cs="仿宋_GB2312"/>
                <w:sz w:val="28"/>
                <w:szCs w:val="28"/>
              </w:rPr>
            </w:pPr>
            <w:r>
              <w:rPr>
                <w:rFonts w:hint="eastAsia" w:ascii="宋体" w:hAnsi="宋体" w:eastAsia="仿宋_GB2312" w:cs="仿宋_GB2312"/>
                <w:spacing w:val="7"/>
                <w:kern w:val="0"/>
                <w:sz w:val="28"/>
                <w:szCs w:val="28"/>
              </w:rPr>
              <w:t>个人消费者转让登记在本人名下乘用车并购买乘用车新车的，给予汽车置换更新补贴支持，购买新能源乘用车单台补贴最高不超过1.5万元，购买燃油乘用车单台补贴最高不超过1.3万元。</w:t>
            </w:r>
            <w:r>
              <w:rPr>
                <w:rFonts w:hint="eastAsia" w:ascii="宋体" w:hAnsi="宋体" w:eastAsia="仿宋_GB2312" w:cs="仿宋_GB2312"/>
                <w:sz w:val="28"/>
                <w:szCs w:val="28"/>
              </w:rPr>
              <w:t>个人消费者申请汽车置换更</w:t>
            </w:r>
            <w:r>
              <w:rPr>
                <w:rFonts w:hint="eastAsia" w:ascii="宋体" w:hAnsi="宋体" w:eastAsia="仿宋_GB2312" w:cs="仿宋_GB2312"/>
                <w:spacing w:val="7"/>
                <w:kern w:val="0"/>
                <w:sz w:val="28"/>
                <w:szCs w:val="28"/>
              </w:rPr>
              <w:t>新补贴，转让的既有乘用车登记在本人名下的时间最迟不得晚于2025年1月8日。每位个人消费者在一个自然年度内最多可享受一次汽车置换更新补贴</w:t>
            </w:r>
            <w:r>
              <w:rPr>
                <w:rFonts w:hint="eastAsia" w:ascii="宋体" w:hAnsi="宋体" w:eastAsia="仿宋_GB2312" w:cs="仿宋_GB2312"/>
                <w:sz w:val="28"/>
                <w:szCs w:val="28"/>
              </w:rPr>
              <w:t>，就同一辆新车只能选择申领汽车报废更新补贴或者置换更新补贴。</w:t>
            </w:r>
          </w:p>
        </w:tc>
      </w:tr>
      <w:tr w14:paraId="6131B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7" w:hRule="atLeast"/>
        </w:trPr>
        <w:tc>
          <w:tcPr>
            <w:tcW w:w="898" w:type="dxa"/>
            <w:noWrap w:val="0"/>
            <w:vAlign w:val="center"/>
          </w:tcPr>
          <w:p w14:paraId="11997188">
            <w:pPr>
              <w:autoSpaceDE w:val="0"/>
              <w:jc w:val="center"/>
              <w:rPr>
                <w:rFonts w:hint="eastAsia" w:ascii="宋体" w:hAnsi="宋体" w:eastAsia="仿宋_GB2312" w:cs="仿宋_GB2312"/>
                <w:sz w:val="28"/>
                <w:szCs w:val="28"/>
              </w:rPr>
            </w:pPr>
            <w:r>
              <w:rPr>
                <w:rFonts w:hint="eastAsia" w:ascii="宋体" w:hAnsi="宋体" w:eastAsia="仿宋_GB2312" w:cs="仿宋_GB2312"/>
                <w:sz w:val="28"/>
                <w:szCs w:val="28"/>
              </w:rPr>
              <w:t>3</w:t>
            </w:r>
          </w:p>
        </w:tc>
        <w:tc>
          <w:tcPr>
            <w:tcW w:w="1445" w:type="dxa"/>
            <w:noWrap w:val="0"/>
            <w:vAlign w:val="center"/>
          </w:tcPr>
          <w:p w14:paraId="6F20B2E1">
            <w:pPr>
              <w:autoSpaceDE w:val="0"/>
              <w:spacing w:line="440" w:lineRule="exact"/>
              <w:jc w:val="center"/>
              <w:rPr>
                <w:rFonts w:hint="eastAsia" w:ascii="宋体" w:hAnsi="宋体" w:eastAsia="仿宋_GB2312" w:cs="仿宋_GB2312"/>
                <w:spacing w:val="7"/>
                <w:sz w:val="28"/>
                <w:szCs w:val="28"/>
              </w:rPr>
            </w:pPr>
            <w:r>
              <w:rPr>
                <w:rFonts w:hint="eastAsia" w:ascii="宋体" w:hAnsi="宋体" w:eastAsia="仿宋_GB2312" w:cs="仿宋_GB2312"/>
                <w:spacing w:val="7"/>
                <w:sz w:val="28"/>
                <w:szCs w:val="28"/>
              </w:rPr>
              <w:t>家电产品以旧换新</w:t>
            </w:r>
          </w:p>
        </w:tc>
        <w:tc>
          <w:tcPr>
            <w:tcW w:w="6682" w:type="dxa"/>
            <w:noWrap w:val="0"/>
            <w:vAlign w:val="center"/>
          </w:tcPr>
          <w:p w14:paraId="79F3BE14">
            <w:pPr>
              <w:pStyle w:val="19"/>
              <w:widowControl/>
              <w:spacing w:beforeAutospacing="0" w:afterAutospacing="0" w:line="440" w:lineRule="exact"/>
              <w:jc w:val="both"/>
              <w:rPr>
                <w:rFonts w:hint="eastAsia" w:ascii="宋体" w:hAnsi="宋体" w:eastAsia="仿宋_GB2312" w:cs="仿宋_GB2312"/>
                <w:spacing w:val="7"/>
                <w:sz w:val="28"/>
                <w:szCs w:val="28"/>
              </w:rPr>
            </w:pPr>
            <w:r>
              <w:rPr>
                <w:rFonts w:hint="eastAsia" w:ascii="宋体" w:hAnsi="宋体" w:eastAsia="仿宋_GB2312" w:cs="仿宋_GB2312"/>
                <w:spacing w:val="7"/>
                <w:sz w:val="28"/>
                <w:szCs w:val="28"/>
              </w:rPr>
              <w:t>个人消费者购买冰箱（含冰柜、冰吧）、洗衣机（洗烘一体机等）、电视机、空调（含中央空调）、电脑（含台式机、笔记本）、热水器（含电热水器、燃气热水器、空气能热水器、太阳能热水器等）、家用灶具（含集成灶、组合灶、智能灶、燃气灶、电磁灶）、吸油烟机等8类家电产品</w:t>
            </w:r>
            <w:r>
              <w:rPr>
                <w:rFonts w:hint="default" w:ascii="宋体" w:hAnsi="宋体" w:eastAsia="仿宋_GB2312" w:cs="仿宋_GB2312"/>
                <w:spacing w:val="7"/>
                <w:sz w:val="28"/>
                <w:szCs w:val="28"/>
              </w:rPr>
              <w:t>给予</w:t>
            </w:r>
            <w:r>
              <w:rPr>
                <w:rFonts w:hint="eastAsia" w:ascii="宋体" w:hAnsi="宋体" w:eastAsia="仿宋_GB2312" w:cs="仿宋_GB2312"/>
                <w:spacing w:val="7"/>
                <w:sz w:val="28"/>
                <w:szCs w:val="28"/>
              </w:rPr>
              <w:t>以旧换新补贴。其中，换购2级、1级能效或水效标准的上述产品，补贴标准分别为产品</w:t>
            </w:r>
            <w:r>
              <w:rPr>
                <w:rFonts w:hint="default" w:ascii="宋体" w:hAnsi="宋体" w:eastAsia="仿宋_GB2312" w:cs="仿宋_GB2312"/>
                <w:spacing w:val="7"/>
                <w:kern w:val="0"/>
                <w:sz w:val="28"/>
                <w:szCs w:val="28"/>
              </w:rPr>
              <w:t>销售</w:t>
            </w:r>
            <w:r>
              <w:rPr>
                <w:rFonts w:hint="eastAsia" w:ascii="宋体" w:hAnsi="宋体" w:eastAsia="仿宋_GB2312" w:cs="仿宋_GB2312"/>
                <w:spacing w:val="7"/>
                <w:kern w:val="0"/>
                <w:sz w:val="28"/>
                <w:szCs w:val="28"/>
              </w:rPr>
              <w:t>价格</w:t>
            </w:r>
            <w:r>
              <w:rPr>
                <w:rFonts w:hint="eastAsia" w:ascii="宋体" w:hAnsi="宋体" w:eastAsia="仿宋_GB2312" w:cs="仿宋_GB2312"/>
                <w:spacing w:val="7"/>
                <w:sz w:val="28"/>
                <w:szCs w:val="28"/>
              </w:rPr>
              <w:t>的15%、20%。每位消费者每类产品可补贴1件（空调产品最多可补贴3件），每件补贴不超过2000元。2024年已享受某类家电产品以旧换新补贴的个人消费者，2025年购买同类家电产品可继续享受补贴。</w:t>
            </w:r>
          </w:p>
          <w:p w14:paraId="31122318">
            <w:pPr>
              <w:pStyle w:val="19"/>
              <w:widowControl/>
              <w:spacing w:beforeAutospacing="0" w:afterAutospacing="0" w:line="440" w:lineRule="exact"/>
              <w:jc w:val="both"/>
              <w:rPr>
                <w:rFonts w:hint="eastAsia" w:ascii="宋体" w:hAnsi="宋体" w:eastAsia="仿宋_GB2312" w:cs="仿宋_GB2312"/>
                <w:spacing w:val="7"/>
                <w:sz w:val="28"/>
                <w:szCs w:val="28"/>
              </w:rPr>
            </w:pPr>
            <w:r>
              <w:rPr>
                <w:rFonts w:hint="eastAsia" w:ascii="宋体" w:hAnsi="宋体" w:eastAsia="仿宋_GB2312" w:cs="仿宋_GB2312"/>
                <w:spacing w:val="7"/>
                <w:sz w:val="28"/>
                <w:szCs w:val="28"/>
              </w:rPr>
              <w:t>个人消费者购买微波炉、净水器、洗碗机、电饭煲等4类家电产品给予消费补贴。其中，换购2级、1级能效或水效标准的上述产品，补贴标准分别为产品</w:t>
            </w:r>
            <w:r>
              <w:rPr>
                <w:rFonts w:hint="default" w:ascii="宋体" w:hAnsi="宋体" w:eastAsia="仿宋_GB2312" w:cs="仿宋_GB2312"/>
                <w:spacing w:val="7"/>
                <w:sz w:val="28"/>
                <w:szCs w:val="28"/>
              </w:rPr>
              <w:t>销售</w:t>
            </w:r>
            <w:r>
              <w:rPr>
                <w:rFonts w:hint="eastAsia" w:ascii="宋体" w:hAnsi="宋体" w:eastAsia="仿宋_GB2312" w:cs="仿宋_GB2312"/>
                <w:spacing w:val="7"/>
                <w:sz w:val="28"/>
                <w:szCs w:val="28"/>
              </w:rPr>
              <w:t>价格的15%、20%。每位消费者每类产品可补贴1件，每件补贴不超过2000元。</w:t>
            </w:r>
          </w:p>
        </w:tc>
      </w:tr>
      <w:tr w14:paraId="76148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2" w:hRule="atLeast"/>
        </w:trPr>
        <w:tc>
          <w:tcPr>
            <w:tcW w:w="898" w:type="dxa"/>
            <w:noWrap w:val="0"/>
            <w:vAlign w:val="center"/>
          </w:tcPr>
          <w:p w14:paraId="2B48DC50">
            <w:pPr>
              <w:autoSpaceDE w:val="0"/>
              <w:snapToGrid w:val="0"/>
              <w:spacing w:line="560" w:lineRule="exact"/>
              <w:jc w:val="center"/>
              <w:rPr>
                <w:rFonts w:hint="eastAsia" w:ascii="宋体" w:hAnsi="宋体" w:eastAsia="仿宋_GB2312" w:cs="仿宋_GB2312"/>
                <w:sz w:val="28"/>
                <w:szCs w:val="28"/>
              </w:rPr>
            </w:pPr>
            <w:r>
              <w:rPr>
                <w:rFonts w:hint="eastAsia" w:ascii="宋体" w:hAnsi="宋体" w:eastAsia="仿宋_GB2312" w:cs="仿宋_GB2312"/>
                <w:sz w:val="28"/>
                <w:szCs w:val="28"/>
              </w:rPr>
              <w:t>4</w:t>
            </w:r>
          </w:p>
        </w:tc>
        <w:tc>
          <w:tcPr>
            <w:tcW w:w="1445" w:type="dxa"/>
            <w:noWrap w:val="0"/>
            <w:vAlign w:val="center"/>
          </w:tcPr>
          <w:p w14:paraId="0694B69D">
            <w:pPr>
              <w:autoSpaceDE w:val="0"/>
              <w:spacing w:line="440" w:lineRule="exact"/>
              <w:jc w:val="center"/>
              <w:rPr>
                <w:rFonts w:hint="eastAsia" w:ascii="宋体" w:hAnsi="宋体" w:eastAsia="仿宋_GB2312" w:cs="仿宋_GB2312"/>
                <w:sz w:val="28"/>
                <w:szCs w:val="28"/>
              </w:rPr>
            </w:pPr>
            <w:r>
              <w:rPr>
                <w:rFonts w:hint="eastAsia" w:ascii="宋体" w:hAnsi="宋体" w:eastAsia="仿宋_GB2312" w:cs="仿宋_GB2312"/>
                <w:spacing w:val="7"/>
                <w:sz w:val="28"/>
                <w:szCs w:val="28"/>
              </w:rPr>
              <w:t>数码产品购新</w:t>
            </w:r>
          </w:p>
        </w:tc>
        <w:tc>
          <w:tcPr>
            <w:tcW w:w="6682" w:type="dxa"/>
            <w:noWrap w:val="0"/>
            <w:vAlign w:val="center"/>
          </w:tcPr>
          <w:p w14:paraId="2BB6B589">
            <w:pPr>
              <w:spacing w:line="440" w:lineRule="exact"/>
              <w:rPr>
                <w:rFonts w:hint="eastAsia" w:ascii="宋体" w:hAnsi="宋体" w:eastAsia="仿宋_GB2312" w:cs="仿宋_GB2312"/>
                <w:sz w:val="28"/>
                <w:szCs w:val="28"/>
              </w:rPr>
            </w:pPr>
            <w:r>
              <w:rPr>
                <w:rFonts w:hint="eastAsia" w:ascii="宋体" w:hAnsi="宋体" w:eastAsia="仿宋_GB2312" w:cs="仿宋_GB2312"/>
                <w:spacing w:val="7"/>
                <w:kern w:val="0"/>
                <w:sz w:val="28"/>
                <w:szCs w:val="28"/>
              </w:rPr>
              <w:t>个人消费者购买手机、平板、智能手表（手环）3类数码产品（单件销售价格不超过6000元）给予购新补贴，每件补贴比例为</w:t>
            </w:r>
            <w:r>
              <w:rPr>
                <w:rFonts w:hint="default" w:ascii="宋体" w:hAnsi="宋体" w:eastAsia="仿宋_GB2312" w:cs="仿宋_GB2312"/>
                <w:spacing w:val="7"/>
                <w:kern w:val="0"/>
                <w:sz w:val="28"/>
                <w:szCs w:val="28"/>
              </w:rPr>
              <w:t>产品销售</w:t>
            </w:r>
            <w:r>
              <w:rPr>
                <w:rFonts w:hint="eastAsia" w:ascii="宋体" w:hAnsi="宋体" w:eastAsia="仿宋_GB2312" w:cs="仿宋_GB2312"/>
                <w:spacing w:val="7"/>
                <w:kern w:val="0"/>
                <w:sz w:val="28"/>
                <w:szCs w:val="28"/>
              </w:rPr>
              <w:t>价格的15%，每位消费者每类产品可补贴1件，每件补贴最高不超过500元。</w:t>
            </w:r>
          </w:p>
        </w:tc>
      </w:tr>
      <w:tr w14:paraId="5C699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trPr>
        <w:tc>
          <w:tcPr>
            <w:tcW w:w="898" w:type="dxa"/>
            <w:noWrap w:val="0"/>
            <w:vAlign w:val="center"/>
          </w:tcPr>
          <w:p w14:paraId="67F6C321">
            <w:pPr>
              <w:autoSpaceDE w:val="0"/>
              <w:jc w:val="center"/>
              <w:rPr>
                <w:rFonts w:hint="eastAsia" w:ascii="宋体" w:hAnsi="宋体" w:eastAsia="仿宋_GB2312" w:cs="仿宋_GB2312"/>
                <w:sz w:val="28"/>
                <w:szCs w:val="28"/>
              </w:rPr>
            </w:pPr>
            <w:r>
              <w:rPr>
                <w:rFonts w:hint="eastAsia" w:ascii="宋体" w:hAnsi="宋体" w:eastAsia="仿宋_GB2312" w:cs="仿宋_GB2312"/>
                <w:sz w:val="28"/>
                <w:szCs w:val="28"/>
              </w:rPr>
              <w:t>5</w:t>
            </w:r>
          </w:p>
        </w:tc>
        <w:tc>
          <w:tcPr>
            <w:tcW w:w="1445" w:type="dxa"/>
            <w:noWrap w:val="0"/>
            <w:vAlign w:val="center"/>
          </w:tcPr>
          <w:p w14:paraId="7EA39DD3">
            <w:pPr>
              <w:autoSpaceDE w:val="0"/>
              <w:spacing w:line="400" w:lineRule="exact"/>
              <w:jc w:val="center"/>
              <w:rPr>
                <w:rFonts w:hint="eastAsia" w:ascii="宋体" w:hAnsi="宋体" w:eastAsia="仿宋_GB2312" w:cs="仿宋_GB2312"/>
                <w:spacing w:val="7"/>
                <w:sz w:val="28"/>
                <w:szCs w:val="28"/>
              </w:rPr>
            </w:pPr>
            <w:r>
              <w:rPr>
                <w:rFonts w:hint="eastAsia" w:ascii="宋体" w:hAnsi="宋体" w:eastAsia="仿宋_GB2312" w:cs="仿宋_GB2312"/>
                <w:spacing w:val="7"/>
                <w:sz w:val="28"/>
                <w:szCs w:val="28"/>
              </w:rPr>
              <w:t>新能源城市公交车及动力电池更新</w:t>
            </w:r>
          </w:p>
        </w:tc>
        <w:tc>
          <w:tcPr>
            <w:tcW w:w="6682" w:type="dxa"/>
            <w:noWrap w:val="0"/>
            <w:vAlign w:val="center"/>
          </w:tcPr>
          <w:p w14:paraId="68903232">
            <w:pPr>
              <w:autoSpaceDE w:val="0"/>
              <w:spacing w:line="400" w:lineRule="exact"/>
              <w:rPr>
                <w:rFonts w:hint="eastAsia" w:ascii="宋体" w:hAnsi="宋体" w:eastAsia="仿宋_GB2312" w:cs="仿宋_GB2312"/>
                <w:spacing w:val="7"/>
                <w:sz w:val="28"/>
                <w:szCs w:val="28"/>
              </w:rPr>
            </w:pPr>
            <w:r>
              <w:rPr>
                <w:rFonts w:hint="eastAsia" w:ascii="宋体" w:hAnsi="宋体" w:eastAsia="仿宋_GB2312" w:cs="仿宋_GB2312"/>
                <w:spacing w:val="7"/>
                <w:sz w:val="28"/>
                <w:szCs w:val="28"/>
              </w:rPr>
              <w:t>更新车龄8年及以上的城市公交车和超出质保期的动力电池，平均每辆车补贴8万元。</w:t>
            </w:r>
          </w:p>
        </w:tc>
      </w:tr>
    </w:tbl>
    <w:p w14:paraId="6210216C">
      <w:pPr>
        <w:pStyle w:val="30"/>
        <w:ind w:left="0" w:leftChars="0"/>
        <w:rPr>
          <w:rFonts w:hint="eastAsia" w:ascii="宋体" w:hAnsi="宋体"/>
        </w:rPr>
      </w:pPr>
      <w:r>
        <w:rPr>
          <w:rFonts w:hint="eastAsia" w:ascii="宋体" w:hAnsi="宋体" w:eastAsia="仿宋_GB2312" w:cs="仿宋_GB2312"/>
          <w:spacing w:val="7"/>
          <w:sz w:val="28"/>
          <w:szCs w:val="28"/>
          <w:lang w:eastAsia="zh-CN"/>
        </w:rPr>
        <w:t>注</w:t>
      </w:r>
      <w:r>
        <w:rPr>
          <w:rFonts w:hint="eastAsia" w:ascii="宋体" w:hAnsi="宋体" w:eastAsia="仿宋_GB2312" w:cs="仿宋_GB2312"/>
          <w:spacing w:val="7"/>
          <w:sz w:val="28"/>
          <w:szCs w:val="28"/>
        </w:rPr>
        <w:t>：家装（旧房装修、厨卫等局部改造、居家适老化改造）、电动自行车、老旧营运货车、农业机械等领域更新换新补贴品类、标准、限额，以及汽车置换更新、新能源城市公交车及动力电池更新等具体补贴标准，由省商务厅、省民政厅、省交通运输厅、省农业农村厅另行通知。</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418" w:header="851" w:footer="1701" w:gutter="0"/>
      <w:cols w:space="720" w:num="1"/>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8A149">
    <w:pPr>
      <w:pStyle w:val="13"/>
      <w:framePr w:w="1701" w:h="357" w:hRule="exact" w:wrap="notBeside" w:vAnchor="page" w:hAnchor="page" w:x="8621" w:y="14921" w:anchorLock="1"/>
      <w:jc w:val="center"/>
      <w:rPr>
        <w:rStyle w:val="24"/>
        <w:rFonts w:hint="eastAsia" w:ascii="宋体" w:hAnsi="宋体"/>
        <w:sz w:val="28"/>
      </w:rPr>
    </w:pPr>
    <w:r>
      <w:rPr>
        <w:rStyle w:val="24"/>
        <w:rFonts w:hint="eastAsia" w:ascii="宋体" w:hAnsi="宋体"/>
        <w:sz w:val="28"/>
      </w:rPr>
      <w:t xml:space="preserve">— </w:t>
    </w:r>
    <w:r>
      <w:rPr>
        <w:rStyle w:val="24"/>
        <w:rFonts w:ascii="宋体" w:hAnsi="宋体"/>
        <w:sz w:val="28"/>
      </w:rPr>
      <w:fldChar w:fldCharType="begin"/>
    </w:r>
    <w:r>
      <w:rPr>
        <w:rStyle w:val="24"/>
        <w:rFonts w:ascii="宋体" w:hAnsi="宋体"/>
        <w:sz w:val="28"/>
      </w:rPr>
      <w:instrText xml:space="preserve">PAGE  </w:instrText>
    </w:r>
    <w:r>
      <w:rPr>
        <w:rStyle w:val="24"/>
        <w:rFonts w:ascii="宋体" w:hAnsi="宋体"/>
        <w:sz w:val="28"/>
      </w:rPr>
      <w:fldChar w:fldCharType="separate"/>
    </w:r>
    <w:r>
      <w:rPr>
        <w:rStyle w:val="24"/>
        <w:rFonts w:ascii="宋体" w:hAnsi="宋体"/>
        <w:sz w:val="28"/>
        <w:lang/>
      </w:rPr>
      <w:t>21</w:t>
    </w:r>
    <w:r>
      <w:rPr>
        <w:rStyle w:val="24"/>
        <w:rFonts w:ascii="宋体" w:hAnsi="宋体"/>
        <w:sz w:val="28"/>
      </w:rPr>
      <w:fldChar w:fldCharType="end"/>
    </w:r>
    <w:r>
      <w:rPr>
        <w:rStyle w:val="24"/>
        <w:rFonts w:hint="eastAsia" w:ascii="宋体" w:hAnsi="宋体"/>
        <w:sz w:val="28"/>
      </w:rPr>
      <w:t xml:space="preserve"> —</w:t>
    </w:r>
  </w:p>
  <w:p w14:paraId="2E66173A">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EBC07">
    <w:pPr>
      <w:pStyle w:val="13"/>
      <w:framePr w:w="1418" w:wrap="around" w:vAnchor="text" w:hAnchor="margin" w:xAlign="outside" w:y="1"/>
      <w:jc w:val="center"/>
      <w:rPr>
        <w:rStyle w:val="24"/>
        <w:rFonts w:hint="eastAsia" w:ascii="宋体" w:hAnsi="宋体"/>
        <w:sz w:val="28"/>
        <w:szCs w:val="28"/>
      </w:rPr>
    </w:pPr>
    <w:r>
      <w:rPr>
        <w:rStyle w:val="24"/>
        <w:rFonts w:hint="eastAsia" w:ascii="宋体" w:hAnsi="宋体"/>
        <w:sz w:val="28"/>
        <w:szCs w:val="28"/>
      </w:rPr>
      <w:t xml:space="preserve">— </w:t>
    </w:r>
    <w:r>
      <w:rPr>
        <w:rStyle w:val="24"/>
        <w:rFonts w:ascii="宋体" w:hAnsi="宋体"/>
        <w:sz w:val="28"/>
        <w:szCs w:val="28"/>
      </w:rPr>
      <w:fldChar w:fldCharType="begin"/>
    </w:r>
    <w:r>
      <w:rPr>
        <w:rStyle w:val="24"/>
        <w:rFonts w:ascii="宋体" w:hAnsi="宋体"/>
        <w:sz w:val="28"/>
        <w:szCs w:val="28"/>
      </w:rPr>
      <w:instrText xml:space="preserve">PAGE  </w:instrText>
    </w:r>
    <w:r>
      <w:rPr>
        <w:rStyle w:val="24"/>
        <w:rFonts w:ascii="宋体" w:hAnsi="宋体"/>
        <w:sz w:val="28"/>
        <w:szCs w:val="28"/>
      </w:rPr>
      <w:fldChar w:fldCharType="separate"/>
    </w:r>
    <w:r>
      <w:rPr>
        <w:rStyle w:val="24"/>
        <w:rFonts w:ascii="宋体" w:hAnsi="宋体"/>
        <w:sz w:val="28"/>
        <w:szCs w:val="28"/>
        <w:lang/>
      </w:rPr>
      <w:t>20</w:t>
    </w:r>
    <w:r>
      <w:rPr>
        <w:rStyle w:val="24"/>
        <w:rFonts w:ascii="宋体" w:hAnsi="宋体"/>
        <w:sz w:val="28"/>
        <w:szCs w:val="28"/>
      </w:rPr>
      <w:fldChar w:fldCharType="end"/>
    </w:r>
    <w:r>
      <w:rPr>
        <w:rStyle w:val="24"/>
        <w:rFonts w:hint="eastAsia" w:ascii="宋体" w:hAnsi="宋体"/>
        <w:sz w:val="28"/>
        <w:szCs w:val="28"/>
      </w:rPr>
      <w:t xml:space="preserve"> —</w:t>
    </w:r>
  </w:p>
  <w:p w14:paraId="0D95047E">
    <w:pPr>
      <w:pStyle w:val="13"/>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89971">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83758">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30C89">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EF9DE">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8469A5"/>
    <w:multiLevelType w:val="multilevel"/>
    <w:tmpl w:val="3F8469A5"/>
    <w:lvl w:ilvl="0" w:tentative="0">
      <w:start w:val="1"/>
      <w:numFmt w:val="decimal"/>
      <w:lvlText w:val="%1"/>
      <w:lvlJc w:val="left"/>
      <w:pPr>
        <w:tabs>
          <w:tab w:val="left" w:pos="360"/>
        </w:tabs>
        <w:ind w:left="0" w:firstLine="0"/>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571"/>
        </w:tabs>
        <w:ind w:left="1418" w:hanging="567"/>
      </w:pPr>
      <w:rPr>
        <w:rFonts w:hint="eastAsia"/>
      </w:rPr>
    </w:lvl>
    <w:lvl w:ilvl="3" w:tentative="0">
      <w:start w:val="1"/>
      <w:numFmt w:val="decimal"/>
      <w:pStyle w:val="27"/>
      <w:lvlText w:val="%1."/>
      <w:lvlJc w:val="left"/>
      <w:pPr>
        <w:tabs>
          <w:tab w:val="left" w:pos="1871"/>
        </w:tabs>
        <w:ind w:left="1871" w:hanging="595"/>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58"/>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Y2RjM2QxYWZiMTJmYjQxZjBiZDhlYTFhNDZiMTAifQ=="/>
  </w:docVars>
  <w:rsids>
    <w:rsidRoot w:val="00A86422"/>
    <w:rsid w:val="00013F97"/>
    <w:rsid w:val="00020BF8"/>
    <w:rsid w:val="0002182A"/>
    <w:rsid w:val="00043871"/>
    <w:rsid w:val="0005268C"/>
    <w:rsid w:val="00053595"/>
    <w:rsid w:val="00056863"/>
    <w:rsid w:val="00065ECB"/>
    <w:rsid w:val="00070F44"/>
    <w:rsid w:val="000727A3"/>
    <w:rsid w:val="0008285A"/>
    <w:rsid w:val="00085AE2"/>
    <w:rsid w:val="0009029A"/>
    <w:rsid w:val="00093431"/>
    <w:rsid w:val="00093840"/>
    <w:rsid w:val="0009551B"/>
    <w:rsid w:val="000C3A84"/>
    <w:rsid w:val="000C3D66"/>
    <w:rsid w:val="000C4B59"/>
    <w:rsid w:val="000D029E"/>
    <w:rsid w:val="000D1BBE"/>
    <w:rsid w:val="000D2FA6"/>
    <w:rsid w:val="0010320B"/>
    <w:rsid w:val="001079D9"/>
    <w:rsid w:val="00113001"/>
    <w:rsid w:val="001205BC"/>
    <w:rsid w:val="00120EDF"/>
    <w:rsid w:val="00127FFE"/>
    <w:rsid w:val="00135CC8"/>
    <w:rsid w:val="0014237F"/>
    <w:rsid w:val="00147F60"/>
    <w:rsid w:val="001616BE"/>
    <w:rsid w:val="0016203D"/>
    <w:rsid w:val="00184DE2"/>
    <w:rsid w:val="00187ABC"/>
    <w:rsid w:val="00192EB7"/>
    <w:rsid w:val="001A7731"/>
    <w:rsid w:val="001B162A"/>
    <w:rsid w:val="001B1AE8"/>
    <w:rsid w:val="001B55E9"/>
    <w:rsid w:val="001C1BF2"/>
    <w:rsid w:val="001D3247"/>
    <w:rsid w:val="001D415E"/>
    <w:rsid w:val="001E6795"/>
    <w:rsid w:val="001E7C5A"/>
    <w:rsid w:val="0023770B"/>
    <w:rsid w:val="002434EB"/>
    <w:rsid w:val="0024380E"/>
    <w:rsid w:val="00251187"/>
    <w:rsid w:val="002527C1"/>
    <w:rsid w:val="00255DDD"/>
    <w:rsid w:val="002839A0"/>
    <w:rsid w:val="0029487B"/>
    <w:rsid w:val="002A1821"/>
    <w:rsid w:val="002A3B32"/>
    <w:rsid w:val="002B7359"/>
    <w:rsid w:val="002C0DF1"/>
    <w:rsid w:val="002C11CF"/>
    <w:rsid w:val="002C2A34"/>
    <w:rsid w:val="002D24D3"/>
    <w:rsid w:val="002D3EB8"/>
    <w:rsid w:val="002E1991"/>
    <w:rsid w:val="002E6DA3"/>
    <w:rsid w:val="0031268A"/>
    <w:rsid w:val="00320420"/>
    <w:rsid w:val="00322D28"/>
    <w:rsid w:val="00327578"/>
    <w:rsid w:val="003358E0"/>
    <w:rsid w:val="0034010D"/>
    <w:rsid w:val="003409B6"/>
    <w:rsid w:val="00344D8D"/>
    <w:rsid w:val="00347EFF"/>
    <w:rsid w:val="00355595"/>
    <w:rsid w:val="00355DAB"/>
    <w:rsid w:val="003573FA"/>
    <w:rsid w:val="00361FE5"/>
    <w:rsid w:val="00370BBB"/>
    <w:rsid w:val="00373541"/>
    <w:rsid w:val="00385E69"/>
    <w:rsid w:val="00387290"/>
    <w:rsid w:val="00387E06"/>
    <w:rsid w:val="00390D75"/>
    <w:rsid w:val="00394EEF"/>
    <w:rsid w:val="00397CE1"/>
    <w:rsid w:val="003A3006"/>
    <w:rsid w:val="003A40DC"/>
    <w:rsid w:val="003A4742"/>
    <w:rsid w:val="003A7F02"/>
    <w:rsid w:val="003B3096"/>
    <w:rsid w:val="003C46D5"/>
    <w:rsid w:val="003D62B1"/>
    <w:rsid w:val="003F0654"/>
    <w:rsid w:val="003F3A1A"/>
    <w:rsid w:val="003F5CB9"/>
    <w:rsid w:val="003F7D5A"/>
    <w:rsid w:val="00402355"/>
    <w:rsid w:val="00405AB8"/>
    <w:rsid w:val="0041132C"/>
    <w:rsid w:val="0041494F"/>
    <w:rsid w:val="004242BC"/>
    <w:rsid w:val="004445A4"/>
    <w:rsid w:val="004528BC"/>
    <w:rsid w:val="00461EA2"/>
    <w:rsid w:val="00463486"/>
    <w:rsid w:val="004737C7"/>
    <w:rsid w:val="00482817"/>
    <w:rsid w:val="004925B9"/>
    <w:rsid w:val="004A1264"/>
    <w:rsid w:val="004A555F"/>
    <w:rsid w:val="004A7536"/>
    <w:rsid w:val="004B2B79"/>
    <w:rsid w:val="004B686B"/>
    <w:rsid w:val="004D55A7"/>
    <w:rsid w:val="004D63AE"/>
    <w:rsid w:val="004E620F"/>
    <w:rsid w:val="004E6DFB"/>
    <w:rsid w:val="004F7F89"/>
    <w:rsid w:val="00506EE6"/>
    <w:rsid w:val="005075CD"/>
    <w:rsid w:val="005101DA"/>
    <w:rsid w:val="00516E9C"/>
    <w:rsid w:val="00521723"/>
    <w:rsid w:val="00522C0F"/>
    <w:rsid w:val="0052710D"/>
    <w:rsid w:val="0053048C"/>
    <w:rsid w:val="005473E1"/>
    <w:rsid w:val="00551712"/>
    <w:rsid w:val="00551A6A"/>
    <w:rsid w:val="00551D1D"/>
    <w:rsid w:val="00564F0C"/>
    <w:rsid w:val="005668D1"/>
    <w:rsid w:val="005779C1"/>
    <w:rsid w:val="00581719"/>
    <w:rsid w:val="0059066A"/>
    <w:rsid w:val="00592C3E"/>
    <w:rsid w:val="00593182"/>
    <w:rsid w:val="005A7A72"/>
    <w:rsid w:val="005B0FD8"/>
    <w:rsid w:val="005B19BE"/>
    <w:rsid w:val="005B1ACE"/>
    <w:rsid w:val="005C7E7E"/>
    <w:rsid w:val="005D14A3"/>
    <w:rsid w:val="005D4402"/>
    <w:rsid w:val="005E0E69"/>
    <w:rsid w:val="005E2B10"/>
    <w:rsid w:val="005F051D"/>
    <w:rsid w:val="005F43BE"/>
    <w:rsid w:val="0060034C"/>
    <w:rsid w:val="00603D31"/>
    <w:rsid w:val="006151C2"/>
    <w:rsid w:val="00622CB8"/>
    <w:rsid w:val="00635FF9"/>
    <w:rsid w:val="006377A7"/>
    <w:rsid w:val="00637D68"/>
    <w:rsid w:val="00641A4A"/>
    <w:rsid w:val="0064494E"/>
    <w:rsid w:val="00647D7D"/>
    <w:rsid w:val="00662503"/>
    <w:rsid w:val="00666AA7"/>
    <w:rsid w:val="0067164A"/>
    <w:rsid w:val="00671ED4"/>
    <w:rsid w:val="00675DC8"/>
    <w:rsid w:val="006833D4"/>
    <w:rsid w:val="0068581C"/>
    <w:rsid w:val="006A629D"/>
    <w:rsid w:val="006B4864"/>
    <w:rsid w:val="006D467A"/>
    <w:rsid w:val="006E2477"/>
    <w:rsid w:val="006E6D3E"/>
    <w:rsid w:val="006F12BD"/>
    <w:rsid w:val="006F1CE4"/>
    <w:rsid w:val="006F6BB2"/>
    <w:rsid w:val="007058A9"/>
    <w:rsid w:val="00706BB7"/>
    <w:rsid w:val="007173B0"/>
    <w:rsid w:val="00723E6D"/>
    <w:rsid w:val="00723F46"/>
    <w:rsid w:val="00724EB7"/>
    <w:rsid w:val="00731B7D"/>
    <w:rsid w:val="00731DEB"/>
    <w:rsid w:val="007356AB"/>
    <w:rsid w:val="00744CF4"/>
    <w:rsid w:val="00747A8E"/>
    <w:rsid w:val="007553DB"/>
    <w:rsid w:val="00760187"/>
    <w:rsid w:val="00770E6A"/>
    <w:rsid w:val="007817C4"/>
    <w:rsid w:val="00783341"/>
    <w:rsid w:val="00787066"/>
    <w:rsid w:val="00792574"/>
    <w:rsid w:val="007A157D"/>
    <w:rsid w:val="007A1A33"/>
    <w:rsid w:val="007A3314"/>
    <w:rsid w:val="007A4BE5"/>
    <w:rsid w:val="007C147E"/>
    <w:rsid w:val="007C2A0A"/>
    <w:rsid w:val="0080375D"/>
    <w:rsid w:val="00812587"/>
    <w:rsid w:val="00815EDC"/>
    <w:rsid w:val="00817386"/>
    <w:rsid w:val="00817C23"/>
    <w:rsid w:val="00833EF1"/>
    <w:rsid w:val="008453FD"/>
    <w:rsid w:val="008462BC"/>
    <w:rsid w:val="00846916"/>
    <w:rsid w:val="00854248"/>
    <w:rsid w:val="00856573"/>
    <w:rsid w:val="00856F9E"/>
    <w:rsid w:val="00863117"/>
    <w:rsid w:val="00863542"/>
    <w:rsid w:val="0087025D"/>
    <w:rsid w:val="00873D0E"/>
    <w:rsid w:val="00886426"/>
    <w:rsid w:val="00891226"/>
    <w:rsid w:val="00896490"/>
    <w:rsid w:val="008A5628"/>
    <w:rsid w:val="008A5A62"/>
    <w:rsid w:val="008B4298"/>
    <w:rsid w:val="008D7451"/>
    <w:rsid w:val="008E1A81"/>
    <w:rsid w:val="008E1C45"/>
    <w:rsid w:val="008E338A"/>
    <w:rsid w:val="008E6781"/>
    <w:rsid w:val="008F4F5E"/>
    <w:rsid w:val="008F5C00"/>
    <w:rsid w:val="00916D25"/>
    <w:rsid w:val="00920046"/>
    <w:rsid w:val="00924B9B"/>
    <w:rsid w:val="00935304"/>
    <w:rsid w:val="0093606F"/>
    <w:rsid w:val="00936D96"/>
    <w:rsid w:val="0094051B"/>
    <w:rsid w:val="00955E86"/>
    <w:rsid w:val="00962022"/>
    <w:rsid w:val="00970E95"/>
    <w:rsid w:val="00973296"/>
    <w:rsid w:val="00975D89"/>
    <w:rsid w:val="0097637B"/>
    <w:rsid w:val="00983C26"/>
    <w:rsid w:val="009C1D55"/>
    <w:rsid w:val="009E42F5"/>
    <w:rsid w:val="009F06CB"/>
    <w:rsid w:val="00A02B5B"/>
    <w:rsid w:val="00A15A6A"/>
    <w:rsid w:val="00A37D2E"/>
    <w:rsid w:val="00A526B8"/>
    <w:rsid w:val="00A566E7"/>
    <w:rsid w:val="00A74392"/>
    <w:rsid w:val="00A86422"/>
    <w:rsid w:val="00A93F10"/>
    <w:rsid w:val="00AA052C"/>
    <w:rsid w:val="00AA2CB2"/>
    <w:rsid w:val="00AB6D11"/>
    <w:rsid w:val="00AC7BF3"/>
    <w:rsid w:val="00AE47CC"/>
    <w:rsid w:val="00AF00E8"/>
    <w:rsid w:val="00AF6ECA"/>
    <w:rsid w:val="00B01FF3"/>
    <w:rsid w:val="00B03F88"/>
    <w:rsid w:val="00B12E6E"/>
    <w:rsid w:val="00B204BB"/>
    <w:rsid w:val="00B30B42"/>
    <w:rsid w:val="00B32DAC"/>
    <w:rsid w:val="00B351AF"/>
    <w:rsid w:val="00B421F4"/>
    <w:rsid w:val="00B42E4F"/>
    <w:rsid w:val="00B51890"/>
    <w:rsid w:val="00B570DD"/>
    <w:rsid w:val="00B6283B"/>
    <w:rsid w:val="00B657C1"/>
    <w:rsid w:val="00B661CD"/>
    <w:rsid w:val="00B707B4"/>
    <w:rsid w:val="00B80740"/>
    <w:rsid w:val="00B8098F"/>
    <w:rsid w:val="00B836F9"/>
    <w:rsid w:val="00B83A33"/>
    <w:rsid w:val="00B9382A"/>
    <w:rsid w:val="00BB5CCC"/>
    <w:rsid w:val="00BB74E8"/>
    <w:rsid w:val="00BC1F54"/>
    <w:rsid w:val="00BE015C"/>
    <w:rsid w:val="00BE38B4"/>
    <w:rsid w:val="00BE5A15"/>
    <w:rsid w:val="00BE64EC"/>
    <w:rsid w:val="00C0288A"/>
    <w:rsid w:val="00C1580A"/>
    <w:rsid w:val="00C16148"/>
    <w:rsid w:val="00C211BE"/>
    <w:rsid w:val="00C215FC"/>
    <w:rsid w:val="00C462FB"/>
    <w:rsid w:val="00C46B3E"/>
    <w:rsid w:val="00C723D3"/>
    <w:rsid w:val="00C83A91"/>
    <w:rsid w:val="00C90D12"/>
    <w:rsid w:val="00C917B2"/>
    <w:rsid w:val="00C93090"/>
    <w:rsid w:val="00CA007B"/>
    <w:rsid w:val="00CA2833"/>
    <w:rsid w:val="00CB159A"/>
    <w:rsid w:val="00CB5CA1"/>
    <w:rsid w:val="00CB6588"/>
    <w:rsid w:val="00CD02F3"/>
    <w:rsid w:val="00CE6FBC"/>
    <w:rsid w:val="00CE7104"/>
    <w:rsid w:val="00CF61C1"/>
    <w:rsid w:val="00D07064"/>
    <w:rsid w:val="00D07683"/>
    <w:rsid w:val="00D22765"/>
    <w:rsid w:val="00D25F9D"/>
    <w:rsid w:val="00D26F03"/>
    <w:rsid w:val="00D27CAA"/>
    <w:rsid w:val="00D33FAB"/>
    <w:rsid w:val="00D36765"/>
    <w:rsid w:val="00D37011"/>
    <w:rsid w:val="00D47EFD"/>
    <w:rsid w:val="00D567A3"/>
    <w:rsid w:val="00D85229"/>
    <w:rsid w:val="00D8643F"/>
    <w:rsid w:val="00D86CB1"/>
    <w:rsid w:val="00D93D8E"/>
    <w:rsid w:val="00DA3B24"/>
    <w:rsid w:val="00DA5A73"/>
    <w:rsid w:val="00DA6326"/>
    <w:rsid w:val="00DA7540"/>
    <w:rsid w:val="00DB2A1D"/>
    <w:rsid w:val="00DB55FD"/>
    <w:rsid w:val="00DB69F9"/>
    <w:rsid w:val="00DD2403"/>
    <w:rsid w:val="00DD2A5D"/>
    <w:rsid w:val="00DD2CDE"/>
    <w:rsid w:val="00DE49EF"/>
    <w:rsid w:val="00DE660C"/>
    <w:rsid w:val="00DE77D6"/>
    <w:rsid w:val="00DF2223"/>
    <w:rsid w:val="00E2274A"/>
    <w:rsid w:val="00E416B7"/>
    <w:rsid w:val="00E56D4D"/>
    <w:rsid w:val="00E56D9B"/>
    <w:rsid w:val="00E56FF6"/>
    <w:rsid w:val="00E72450"/>
    <w:rsid w:val="00E74DF5"/>
    <w:rsid w:val="00E814CC"/>
    <w:rsid w:val="00E81902"/>
    <w:rsid w:val="00E855F2"/>
    <w:rsid w:val="00E8593D"/>
    <w:rsid w:val="00E91CE9"/>
    <w:rsid w:val="00E92105"/>
    <w:rsid w:val="00EB0946"/>
    <w:rsid w:val="00EB310B"/>
    <w:rsid w:val="00EC4BA2"/>
    <w:rsid w:val="00EC643B"/>
    <w:rsid w:val="00ED3B34"/>
    <w:rsid w:val="00ED61A6"/>
    <w:rsid w:val="00ED63C3"/>
    <w:rsid w:val="00EE5E07"/>
    <w:rsid w:val="00EE66D0"/>
    <w:rsid w:val="00EE7BC8"/>
    <w:rsid w:val="00EF0459"/>
    <w:rsid w:val="00EF47AC"/>
    <w:rsid w:val="00F14C94"/>
    <w:rsid w:val="00F17AEE"/>
    <w:rsid w:val="00F203D7"/>
    <w:rsid w:val="00F24EF7"/>
    <w:rsid w:val="00F255B4"/>
    <w:rsid w:val="00F33D6C"/>
    <w:rsid w:val="00F42FE3"/>
    <w:rsid w:val="00F47732"/>
    <w:rsid w:val="00F63C41"/>
    <w:rsid w:val="00F755F8"/>
    <w:rsid w:val="00F77ACE"/>
    <w:rsid w:val="00F81DE8"/>
    <w:rsid w:val="00F915C6"/>
    <w:rsid w:val="00F93804"/>
    <w:rsid w:val="00F97FBD"/>
    <w:rsid w:val="00FD6E03"/>
    <w:rsid w:val="00FE4129"/>
    <w:rsid w:val="00FE7DFE"/>
    <w:rsid w:val="00FF1667"/>
    <w:rsid w:val="18DD5EF4"/>
    <w:rsid w:val="19B714DB"/>
    <w:rsid w:val="19F750CD"/>
    <w:rsid w:val="27E71670"/>
    <w:rsid w:val="318B7D84"/>
    <w:rsid w:val="319F7E39"/>
    <w:rsid w:val="391D0741"/>
    <w:rsid w:val="3BFFB049"/>
    <w:rsid w:val="3CA904C1"/>
    <w:rsid w:val="3F025A0C"/>
    <w:rsid w:val="3F5FA048"/>
    <w:rsid w:val="3FEBD610"/>
    <w:rsid w:val="406A5964"/>
    <w:rsid w:val="43CD3532"/>
    <w:rsid w:val="440134AD"/>
    <w:rsid w:val="458749C0"/>
    <w:rsid w:val="4AFB5286"/>
    <w:rsid w:val="4CB92454"/>
    <w:rsid w:val="4FEE0EB2"/>
    <w:rsid w:val="4FF27E90"/>
    <w:rsid w:val="5BEE94D2"/>
    <w:rsid w:val="619D46DC"/>
    <w:rsid w:val="64637360"/>
    <w:rsid w:val="65467109"/>
    <w:rsid w:val="66E068A3"/>
    <w:rsid w:val="68F3043D"/>
    <w:rsid w:val="69DD5AF4"/>
    <w:rsid w:val="6D580CE5"/>
    <w:rsid w:val="6ECE79B9"/>
    <w:rsid w:val="6EFF5363"/>
    <w:rsid w:val="7479688A"/>
    <w:rsid w:val="74F92699"/>
    <w:rsid w:val="77B72A11"/>
    <w:rsid w:val="7A8C049B"/>
    <w:rsid w:val="7B177B24"/>
    <w:rsid w:val="7B751EB5"/>
    <w:rsid w:val="7DC167D2"/>
    <w:rsid w:val="7DFFCDCB"/>
    <w:rsid w:val="7EBF5E86"/>
    <w:rsid w:val="8787F202"/>
    <w:rsid w:val="917FB7CC"/>
    <w:rsid w:val="B5FE167E"/>
    <w:rsid w:val="BD3C1508"/>
    <w:rsid w:val="DAD9A3E6"/>
    <w:rsid w:val="DDFE4EB7"/>
    <w:rsid w:val="DFBBE0C9"/>
    <w:rsid w:val="DFF70686"/>
    <w:rsid w:val="FDF56EC4"/>
    <w:rsid w:val="FE9CCBA8"/>
    <w:rsid w:val="FFAF1E09"/>
    <w:rsid w:val="FFFEA6E3"/>
    <w:rsid w:val="FFFFC0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szCs w:val="24"/>
      <w:lang w:val="en-US" w:eastAsia="zh-CN" w:bidi="ar-SA"/>
    </w:rPr>
  </w:style>
  <w:style w:type="paragraph" w:styleId="5">
    <w:name w:val="heading 1"/>
    <w:basedOn w:val="1"/>
    <w:next w:val="1"/>
    <w:uiPriority w:val="0"/>
    <w:pPr>
      <w:keepNext/>
      <w:keepLines/>
      <w:outlineLvl w:val="0"/>
    </w:pPr>
    <w:rPr>
      <w:rFonts w:eastAsia="方正小标宋简体"/>
      <w:bCs/>
      <w:kern w:val="44"/>
      <w:sz w:val="36"/>
      <w:szCs w:val="44"/>
    </w:rPr>
  </w:style>
  <w:style w:type="paragraph" w:styleId="6">
    <w:name w:val="heading 2"/>
    <w:basedOn w:val="1"/>
    <w:next w:val="1"/>
    <w:uiPriority w:val="0"/>
    <w:pPr>
      <w:keepNext/>
      <w:keepLines/>
      <w:outlineLvl w:val="1"/>
    </w:pPr>
    <w:rPr>
      <w:rFonts w:ascii="Arial" w:hAnsi="Arial" w:eastAsia="黑体"/>
      <w:bCs/>
      <w:sz w:val="24"/>
      <w:szCs w:val="30"/>
    </w:rPr>
  </w:style>
  <w:style w:type="paragraph" w:styleId="7">
    <w:name w:val="heading 3"/>
    <w:basedOn w:val="1"/>
    <w:next w:val="1"/>
    <w:uiPriority w:val="0"/>
    <w:pPr>
      <w:keepNext/>
      <w:keepLines/>
      <w:ind w:firstLine="200" w:firstLineChars="200"/>
      <w:jc w:val="left"/>
      <w:outlineLvl w:val="2"/>
    </w:pPr>
    <w:rPr>
      <w:b/>
      <w:bCs/>
      <w:sz w:val="24"/>
      <w:szCs w:val="30"/>
    </w:rPr>
  </w:style>
  <w:style w:type="paragraph" w:styleId="8">
    <w:name w:val="heading 4"/>
    <w:basedOn w:val="1"/>
    <w:next w:val="1"/>
    <w:uiPriority w:val="0"/>
    <w:pPr>
      <w:keepNext/>
      <w:keepLines/>
      <w:outlineLvl w:val="3"/>
    </w:pPr>
    <w:rPr>
      <w:rFonts w:ascii="Arial" w:hAnsi="Arial"/>
      <w:bCs/>
      <w:sz w:val="24"/>
      <w:szCs w:val="28"/>
    </w:rPr>
  </w:style>
  <w:style w:type="character" w:default="1" w:styleId="22">
    <w:name w:val="Default Paragraph Font"/>
    <w:link w:val="23"/>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2">
    <w:name w:val="Body Text First Indent 2"/>
    <w:basedOn w:val="3"/>
    <w:next w:val="1"/>
    <w:qFormat/>
    <w:uiPriority w:val="0"/>
    <w:pPr>
      <w:ind w:left="420" w:firstLine="420"/>
    </w:pPr>
    <w:rPr>
      <w:szCs w:val="30"/>
    </w:rPr>
  </w:style>
  <w:style w:type="paragraph" w:styleId="3">
    <w:name w:val="Body Text Indent"/>
    <w:basedOn w:val="1"/>
    <w:next w:val="4"/>
    <w:uiPriority w:val="0"/>
    <w:pPr>
      <w:autoSpaceDN w:val="0"/>
      <w:ind w:firstLine="627" w:firstLineChars="196"/>
    </w:pPr>
    <w:rPr>
      <w:rFonts w:ascii="仿宋_GB2312" w:hAnsi="宋体" w:eastAsia="仿宋_GB2312"/>
      <w:sz w:val="32"/>
    </w:rPr>
  </w:style>
  <w:style w:type="paragraph" w:styleId="4">
    <w:name w:val="envelope return"/>
    <w:basedOn w:val="1"/>
    <w:qFormat/>
    <w:uiPriority w:val="0"/>
    <w:pPr>
      <w:snapToGrid w:val="0"/>
    </w:pPr>
    <w:rPr>
      <w:rFonts w:ascii="Arial" w:hAnsi="Arial" w:cs="Arial"/>
      <w:sz w:val="34"/>
    </w:rPr>
  </w:style>
  <w:style w:type="paragraph" w:styleId="9">
    <w:name w:val="Normal Indent"/>
    <w:basedOn w:val="1"/>
    <w:uiPriority w:val="0"/>
    <w:pPr>
      <w:ind w:firstLine="420"/>
    </w:pPr>
  </w:style>
  <w:style w:type="paragraph" w:styleId="10">
    <w:name w:val="toc 3"/>
    <w:basedOn w:val="1"/>
    <w:next w:val="1"/>
    <w:semiHidden/>
    <w:uiPriority w:val="0"/>
    <w:pPr>
      <w:ind w:left="420"/>
      <w:jc w:val="left"/>
    </w:pPr>
    <w:rPr>
      <w:rFonts w:eastAsia="仿宋_GB2312"/>
      <w:iCs/>
      <w:sz w:val="28"/>
    </w:rPr>
  </w:style>
  <w:style w:type="paragraph" w:styleId="11">
    <w:name w:val="Body Text Indent 2"/>
    <w:basedOn w:val="1"/>
    <w:uiPriority w:val="0"/>
    <w:pPr>
      <w:ind w:firstLine="640" w:firstLineChars="200"/>
    </w:pPr>
    <w:rPr>
      <w:rFonts w:eastAsia="仿宋_GB2312"/>
      <w:sz w:val="32"/>
    </w:rPr>
  </w:style>
  <w:style w:type="paragraph" w:styleId="12">
    <w:name w:val="Balloon Text"/>
    <w:basedOn w:val="1"/>
    <w:semiHidden/>
    <w:uiPriority w:val="0"/>
    <w:rPr>
      <w:sz w:val="18"/>
      <w:szCs w:val="18"/>
    </w:rPr>
  </w:style>
  <w:style w:type="paragraph" w:styleId="13">
    <w:name w:val="footer"/>
    <w:basedOn w:val="1"/>
    <w:uiPriority w:val="0"/>
    <w:pPr>
      <w:tabs>
        <w:tab w:val="center" w:pos="4153"/>
        <w:tab w:val="right" w:pos="8306"/>
      </w:tabs>
      <w:snapToGrid w:val="0"/>
      <w:jc w:val="left"/>
    </w:pPr>
    <w:rPr>
      <w:sz w:val="18"/>
      <w:szCs w:val="18"/>
    </w:rPr>
  </w:style>
  <w:style w:type="paragraph" w:styleId="14">
    <w:name w:val="header"/>
    <w:basedOn w:val="1"/>
    <w:uiPriority w:val="0"/>
    <w:pPr>
      <w:tabs>
        <w:tab w:val="center" w:pos="4153"/>
        <w:tab w:val="right" w:pos="8306"/>
      </w:tabs>
      <w:snapToGrid w:val="0"/>
      <w:jc w:val="center"/>
    </w:pPr>
    <w:rPr>
      <w:sz w:val="18"/>
      <w:szCs w:val="18"/>
    </w:rPr>
  </w:style>
  <w:style w:type="paragraph" w:styleId="15">
    <w:name w:val="toc 1"/>
    <w:basedOn w:val="1"/>
    <w:next w:val="1"/>
    <w:semiHidden/>
    <w:uiPriority w:val="0"/>
    <w:rPr>
      <w:rFonts w:eastAsia="方正小标宋简体"/>
      <w:sz w:val="36"/>
      <w:szCs w:val="36"/>
    </w:rPr>
  </w:style>
  <w:style w:type="paragraph" w:styleId="16">
    <w:name w:val="toc 4"/>
    <w:basedOn w:val="1"/>
    <w:next w:val="1"/>
    <w:semiHidden/>
    <w:uiPriority w:val="0"/>
    <w:pPr>
      <w:tabs>
        <w:tab w:val="right" w:leader="dot" w:pos="8834"/>
      </w:tabs>
      <w:spacing w:line="540" w:lineRule="exact"/>
      <w:ind w:left="1260" w:hanging="1260"/>
    </w:pPr>
    <w:rPr>
      <w:rFonts w:ascii="宋体" w:hAnsi="宋体"/>
      <w:sz w:val="24"/>
      <w:lang/>
    </w:rPr>
  </w:style>
  <w:style w:type="paragraph" w:styleId="17">
    <w:name w:val="toc 2"/>
    <w:basedOn w:val="9"/>
    <w:next w:val="1"/>
    <w:semiHidden/>
    <w:uiPriority w:val="0"/>
    <w:pPr>
      <w:tabs>
        <w:tab w:val="right" w:leader="dot" w:pos="8834"/>
      </w:tabs>
    </w:pPr>
    <w:rPr>
      <w:rFonts w:ascii="黑体" w:eastAsia="黑体"/>
      <w:b/>
      <w:sz w:val="24"/>
      <w:lang/>
    </w:rPr>
  </w:style>
  <w:style w:type="paragraph" w:styleId="18">
    <w:name w:val="Body Text 2"/>
    <w:basedOn w:val="1"/>
    <w:qFormat/>
    <w:uiPriority w:val="0"/>
    <w:pPr>
      <w:spacing w:after="120" w:line="480" w:lineRule="auto"/>
    </w:pPr>
    <w:rPr>
      <w:rFonts w:ascii="Calibri" w:hAnsi="Calibri"/>
    </w:rPr>
  </w:style>
  <w:style w:type="paragraph" w:styleId="19">
    <w:name w:val="Normal (Web)"/>
    <w:basedOn w:val="1"/>
    <w:qFormat/>
    <w:uiPriority w:val="0"/>
    <w:pPr>
      <w:spacing w:beforeAutospacing="1" w:afterAutospacing="1"/>
      <w:jc w:val="left"/>
    </w:pPr>
    <w:rPr>
      <w:kern w:val="0"/>
      <w:sz w:val="24"/>
    </w:rPr>
  </w:style>
  <w:style w:type="table" w:styleId="21">
    <w:name w:val="Table Grid"/>
    <w:basedOn w:val="20"/>
    <w:qFormat/>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 Char Char Char Char"/>
    <w:basedOn w:val="1"/>
    <w:link w:val="22"/>
    <w:qFormat/>
    <w:uiPriority w:val="0"/>
    <w:pPr>
      <w:widowControl/>
      <w:spacing w:after="160" w:line="240" w:lineRule="atLeast"/>
      <w:jc w:val="left"/>
    </w:pPr>
    <w:rPr>
      <w:rFonts w:ascii="Times New Roman" w:hAnsi="Times New Roman"/>
    </w:rPr>
  </w:style>
  <w:style w:type="character" w:styleId="24">
    <w:name w:val="page number"/>
    <w:basedOn w:val="22"/>
    <w:uiPriority w:val="0"/>
  </w:style>
  <w:style w:type="character" w:customStyle="1" w:styleId="25">
    <w:name w:val="font21"/>
    <w:basedOn w:val="22"/>
    <w:qFormat/>
    <w:uiPriority w:val="0"/>
    <w:rPr>
      <w:rFonts w:hint="eastAsia" w:ascii="宋体" w:hAnsi="宋体" w:eastAsia="宋体" w:cs="宋体"/>
      <w:color w:val="000000"/>
      <w:sz w:val="24"/>
      <w:szCs w:val="24"/>
      <w:u w:val="none"/>
    </w:rPr>
  </w:style>
  <w:style w:type="character" w:customStyle="1" w:styleId="26">
    <w:name w:val="16"/>
    <w:basedOn w:val="22"/>
    <w:qFormat/>
    <w:uiPriority w:val="0"/>
    <w:rPr>
      <w:rFonts w:hint="default" w:ascii="Times New Roman" w:hAnsi="Times New Roman" w:eastAsia="宋体" w:cs="Times New Roman"/>
      <w:b/>
      <w:bCs/>
    </w:rPr>
  </w:style>
  <w:style w:type="paragraph" w:customStyle="1" w:styleId="27">
    <w:name w:val="样式2"/>
    <w:basedOn w:val="8"/>
    <w:uiPriority w:val="0"/>
    <w:pPr>
      <w:numPr>
        <w:ilvl w:val="3"/>
        <w:numId w:val="1"/>
      </w:numPr>
      <w:spacing w:before="120" w:after="120" w:line="240" w:lineRule="auto"/>
      <w:jc w:val="center"/>
    </w:pPr>
    <w:rPr>
      <w:rFonts w:ascii="宋体" w:hAnsi="宋体"/>
      <w:sz w:val="24"/>
    </w:rPr>
  </w:style>
  <w:style w:type="paragraph" w:customStyle="1" w:styleId="28">
    <w:name w:val="Plain Text"/>
    <w:qFormat/>
    <w:uiPriority w:val="0"/>
    <w:pPr>
      <w:widowControl w:val="0"/>
      <w:spacing w:line="576" w:lineRule="atLeast"/>
      <w:jc w:val="both"/>
    </w:pPr>
    <w:rPr>
      <w:rFonts w:ascii="宋体" w:hAnsi="Courier New" w:eastAsia="Times New Roman" w:cs="宋体"/>
      <w:kern w:val="2"/>
      <w:sz w:val="21"/>
      <w:szCs w:val="24"/>
      <w:lang w:val="en-US" w:eastAsia="zh-CN" w:bidi="ar-SA"/>
    </w:rPr>
  </w:style>
  <w:style w:type="paragraph" w:customStyle="1" w:styleId="29">
    <w:name w:val="UserStyle_1"/>
    <w:basedOn w:val="1"/>
    <w:qFormat/>
    <w:uiPriority w:val="0"/>
    <w:pPr>
      <w:ind w:firstLine="420" w:firstLineChars="200"/>
    </w:pPr>
    <w:rPr>
      <w:rFonts w:ascii="Calibri" w:hAnsi="Calibri" w:eastAsia="宋体" w:cs="Times New Roman"/>
      <w:szCs w:val="32"/>
    </w:rPr>
  </w:style>
  <w:style w:type="paragraph" w:customStyle="1" w:styleId="30">
    <w:name w:val="UserStyle_0"/>
    <w:basedOn w:val="1"/>
    <w:next w:val="29"/>
    <w:uiPriority w:val="0"/>
    <w:pPr>
      <w:spacing w:after="120"/>
      <w:ind w:left="420" w:leftChars="200"/>
    </w:pPr>
    <w:rPr>
      <w:rFonts w:ascii="Calibri" w:hAnsi="Calibri"/>
    </w:rPr>
  </w:style>
  <w:style w:type="paragraph" w:customStyle="1" w:styleId="31">
    <w:name w:val="样式 行距: 固定值 28.9 磅"/>
    <w:basedOn w:val="1"/>
    <w:qFormat/>
    <w:uiPriority w:val="0"/>
    <w:pPr>
      <w:spacing w:line="578" w:lineRule="exact"/>
    </w:pPr>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5425</Words>
  <Characters>5549</Characters>
  <Lines>66</Lines>
  <Paragraphs>18</Paragraphs>
  <TotalTime>6.33333333333333</TotalTime>
  <ScaleCrop>false</ScaleCrop>
  <LinksUpToDate>false</LinksUpToDate>
  <CharactersWithSpaces>5626</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2024-09-01T20:46:00Z</dcterms:created>
  <dc:creator>闵静:文印</dc:creator>
  <cp:lastModifiedBy>F_君</cp:lastModifiedBy>
  <cp:lastPrinted>2025-01-27T00:47:16Z</cp:lastPrinted>
  <dcterms:modified xsi:type="dcterms:W3CDTF">2025-01-27T01:41:05Z</dcterms:modified>
  <dc:title>江西省发展改革委 江西省财政厅关于呈请审定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A7EFBDDD668441AAA5A386F2D69A9BD3_13</vt:lpwstr>
  </property>
  <property fmtid="{D5CDD505-2E9C-101B-9397-08002B2CF9AE}" pid="4" name="KSOTemplateDocerSaveRecord">
    <vt:lpwstr>eyJoZGlkIjoiY2IzMzg2Y2UyZmFiYTY2MDZkNzA5MDVmMGQyZGZkNDUiLCJ1c2VySWQiOiIzODMyNjMxMDIifQ==</vt:lpwstr>
  </property>
</Properties>
</file>